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3F74" w:rsidRDefault="007B3F74" w:rsidP="007B3F74">
      <w:pPr>
        <w:contextualSpacing/>
        <w:jc w:val="center"/>
        <w:rPr>
          <w:rFonts w:ascii="Times New Roman" w:hAnsi="Times New Roman"/>
          <w:b/>
        </w:rPr>
      </w:pPr>
      <w:r w:rsidRPr="00FA013B">
        <w:rPr>
          <w:rFonts w:ascii="Times New Roman" w:hAnsi="Times New Roman"/>
          <w:b/>
        </w:rPr>
        <w:t>RENTA – ACTUAL LEY SOBRE IMPUESTO A LA –</w:t>
      </w:r>
      <w:r>
        <w:rPr>
          <w:rFonts w:ascii="Times New Roman" w:hAnsi="Times New Roman"/>
          <w:b/>
        </w:rPr>
        <w:t xml:space="preserve"> LEY N° 18.392,  DE 1985, ART. 1°, INCISO 3°, ART. 10°. (ORD. N° 2819, DE 19.10.2012)</w:t>
      </w:r>
    </w:p>
    <w:p w:rsidR="007B3F74" w:rsidRDefault="007B3F74" w:rsidP="007B3F74">
      <w:pPr>
        <w:contextualSpacing/>
        <w:jc w:val="center"/>
        <w:rPr>
          <w:rFonts w:ascii="Times New Roman" w:hAnsi="Times New Roman"/>
          <w:b/>
          <w:szCs w:val="22"/>
        </w:rPr>
      </w:pP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p>
    <w:p w:rsidR="0042495A" w:rsidRDefault="00B52D54" w:rsidP="00FE795A">
      <w:pPr>
        <w:ind w:hanging="2"/>
        <w:rPr>
          <w:rFonts w:ascii="Times New Roman" w:hAnsi="Times New Roman"/>
          <w:b/>
          <w:szCs w:val="22"/>
        </w:rPr>
      </w:pPr>
      <w:r w:rsidRPr="00716982">
        <w:rPr>
          <w:rFonts w:ascii="Times New Roman" w:hAnsi="Times New Roman"/>
          <w:b/>
          <w:szCs w:val="22"/>
        </w:rPr>
        <w:t xml:space="preserve">Solicita informe respecto del sentido y alcance de expresiones utilizadas en </w:t>
      </w:r>
      <w:r w:rsidR="00A3039A" w:rsidRPr="00716982">
        <w:rPr>
          <w:rFonts w:ascii="Times New Roman" w:hAnsi="Times New Roman"/>
          <w:b/>
          <w:szCs w:val="22"/>
        </w:rPr>
        <w:t>la Ley Navarino</w:t>
      </w:r>
      <w:r w:rsidR="00716982">
        <w:rPr>
          <w:rFonts w:ascii="Times New Roman" w:hAnsi="Times New Roman"/>
          <w:b/>
          <w:szCs w:val="22"/>
        </w:rPr>
        <w:t>.</w:t>
      </w:r>
    </w:p>
    <w:p w:rsidR="00716982" w:rsidRPr="00716982" w:rsidRDefault="00716982" w:rsidP="00FE795A">
      <w:pPr>
        <w:ind w:hanging="2"/>
        <w:rPr>
          <w:rFonts w:ascii="Times New Roman" w:hAnsi="Times New Roman"/>
          <w:b/>
          <w:szCs w:val="22"/>
        </w:rPr>
      </w:pPr>
    </w:p>
    <w:p w:rsidR="007B0A78" w:rsidRPr="00FE795A" w:rsidRDefault="007B0A78" w:rsidP="00E22FC6">
      <w:pPr>
        <w:numPr>
          <w:ilvl w:val="0"/>
          <w:numId w:val="4"/>
        </w:numPr>
        <w:spacing w:before="240" w:after="240"/>
        <w:ind w:left="426" w:firstLine="0"/>
        <w:rPr>
          <w:rFonts w:ascii="Times New Roman" w:hAnsi="Times New Roman"/>
          <w:b/>
          <w:szCs w:val="22"/>
          <w:lang w:val="es-ES_tradnl"/>
        </w:rPr>
      </w:pPr>
      <w:r w:rsidRPr="00FE795A">
        <w:rPr>
          <w:rFonts w:ascii="Times New Roman" w:hAnsi="Times New Roman"/>
          <w:b/>
          <w:szCs w:val="22"/>
          <w:lang w:val="es-ES_tradnl"/>
        </w:rPr>
        <w:t>ANTECEDENTES</w:t>
      </w:r>
      <w:r w:rsidR="003B2CC9" w:rsidRPr="00FE795A">
        <w:rPr>
          <w:rFonts w:ascii="Times New Roman" w:hAnsi="Times New Roman"/>
          <w:b/>
          <w:szCs w:val="22"/>
          <w:lang w:val="es-ES_tradnl"/>
        </w:rPr>
        <w:t>.</w:t>
      </w:r>
    </w:p>
    <w:p w:rsidR="009C5264" w:rsidRPr="00FE795A" w:rsidRDefault="00A91105">
      <w:pPr>
        <w:rPr>
          <w:rFonts w:ascii="Times New Roman" w:hAnsi="Times New Roman"/>
          <w:szCs w:val="22"/>
          <w:lang w:val="es-ES_tradnl"/>
        </w:rPr>
      </w:pPr>
      <w:r w:rsidRPr="00FE795A">
        <w:rPr>
          <w:rFonts w:ascii="Times New Roman" w:hAnsi="Times New Roman"/>
          <w:szCs w:val="22"/>
          <w:lang w:val="es-ES_tradnl"/>
        </w:rPr>
        <w:t>Ese organismo</w:t>
      </w:r>
      <w:r w:rsidR="009C5264" w:rsidRPr="00FE795A">
        <w:rPr>
          <w:rFonts w:ascii="Times New Roman" w:hAnsi="Times New Roman"/>
          <w:szCs w:val="22"/>
          <w:lang w:val="es-ES_tradnl"/>
        </w:rPr>
        <w:t xml:space="preserve"> remite presentación formulada por el Presidente del Senado, a petición del Senador</w:t>
      </w:r>
      <w:r w:rsidR="00716982">
        <w:rPr>
          <w:rFonts w:ascii="Times New Roman" w:hAnsi="Times New Roman"/>
          <w:szCs w:val="22"/>
          <w:lang w:val="es-ES_tradnl"/>
        </w:rPr>
        <w:t xml:space="preserve"> XXX</w:t>
      </w:r>
      <w:r w:rsidR="009C5264" w:rsidRPr="00FE795A">
        <w:rPr>
          <w:rFonts w:ascii="Times New Roman" w:hAnsi="Times New Roman"/>
          <w:szCs w:val="22"/>
          <w:lang w:val="es-ES_tradnl"/>
        </w:rPr>
        <w:t>, a fin de que, en conformidad con lo dispuesto en el artículo 9</w:t>
      </w:r>
      <w:r w:rsidR="002D40F0" w:rsidRPr="00FE795A">
        <w:rPr>
          <w:rFonts w:ascii="Times New Roman" w:hAnsi="Times New Roman"/>
          <w:szCs w:val="22"/>
          <w:lang w:val="es-ES_tradnl"/>
        </w:rPr>
        <w:t>,</w:t>
      </w:r>
      <w:r w:rsidR="009C5264" w:rsidRPr="00FE795A">
        <w:rPr>
          <w:rFonts w:ascii="Times New Roman" w:hAnsi="Times New Roman"/>
          <w:szCs w:val="22"/>
          <w:lang w:val="es-ES_tradnl"/>
        </w:rPr>
        <w:t xml:space="preserve"> de la Ley N°10.336, se informe al tenor de lo expuesto por el recurrente.</w:t>
      </w:r>
    </w:p>
    <w:p w:rsidR="009C5264" w:rsidRPr="00FE795A" w:rsidRDefault="00C501AB">
      <w:pPr>
        <w:rPr>
          <w:rFonts w:ascii="Times New Roman" w:hAnsi="Times New Roman"/>
          <w:szCs w:val="22"/>
          <w:lang w:val="es-ES_tradnl"/>
        </w:rPr>
      </w:pPr>
      <w:r w:rsidRPr="00FE795A">
        <w:rPr>
          <w:rFonts w:ascii="Times New Roman" w:hAnsi="Times New Roman"/>
          <w:szCs w:val="22"/>
          <w:lang w:val="es-ES_tradnl"/>
        </w:rPr>
        <w:t>Señala</w:t>
      </w:r>
      <w:r w:rsidR="00CE335F" w:rsidRPr="00FE795A">
        <w:rPr>
          <w:rFonts w:ascii="Times New Roman" w:hAnsi="Times New Roman"/>
          <w:szCs w:val="22"/>
          <w:lang w:val="es-ES_tradnl"/>
        </w:rPr>
        <w:t xml:space="preserve"> el recurrente que</w:t>
      </w:r>
      <w:r w:rsidR="009C5264" w:rsidRPr="00FE795A">
        <w:rPr>
          <w:rFonts w:ascii="Times New Roman" w:hAnsi="Times New Roman"/>
          <w:szCs w:val="22"/>
          <w:lang w:val="es-ES_tradnl"/>
        </w:rPr>
        <w:t xml:space="preserve"> la Ley Navarino otorga un tratamiento preferencial tributario y aduanero para </w:t>
      </w:r>
      <w:r w:rsidR="00456139" w:rsidRPr="00FE795A">
        <w:rPr>
          <w:rFonts w:ascii="Times New Roman" w:hAnsi="Times New Roman"/>
          <w:szCs w:val="22"/>
          <w:lang w:val="es-ES_tradnl"/>
        </w:rPr>
        <w:t>el territorio determinado en su artículo primero, ubicado en la XII Región de Magallanes y de la Antártica Chilena, dentro del cual se encuentra la ciudad y comuna de Porvenir.</w:t>
      </w:r>
    </w:p>
    <w:p w:rsidR="00EF71C2" w:rsidRPr="00FE795A" w:rsidRDefault="00C67E4C">
      <w:pPr>
        <w:rPr>
          <w:rFonts w:ascii="Times New Roman" w:hAnsi="Times New Roman"/>
          <w:szCs w:val="22"/>
          <w:lang w:val="es-ES_tradnl"/>
        </w:rPr>
      </w:pPr>
      <w:r w:rsidRPr="00FE795A">
        <w:rPr>
          <w:rFonts w:ascii="Times New Roman" w:hAnsi="Times New Roman"/>
          <w:szCs w:val="22"/>
          <w:lang w:val="es-ES_tradnl"/>
        </w:rPr>
        <w:t>De conformidad con el referido texto legal,</w:t>
      </w:r>
      <w:r w:rsidR="00EF71C2" w:rsidRPr="00FE795A">
        <w:rPr>
          <w:rFonts w:ascii="Times New Roman" w:hAnsi="Times New Roman"/>
          <w:szCs w:val="22"/>
          <w:lang w:val="es-ES_tradnl"/>
        </w:rPr>
        <w:t xml:space="preserve"> gozarán de las franquicias que en ella se </w:t>
      </w:r>
      <w:r w:rsidR="00C501AB" w:rsidRPr="00FE795A">
        <w:rPr>
          <w:rFonts w:ascii="Times New Roman" w:hAnsi="Times New Roman"/>
          <w:szCs w:val="22"/>
          <w:lang w:val="es-ES_tradnl"/>
        </w:rPr>
        <w:t>contemplan</w:t>
      </w:r>
      <w:r w:rsidR="003C5FCF" w:rsidRPr="00FE795A">
        <w:rPr>
          <w:rFonts w:ascii="Times New Roman" w:hAnsi="Times New Roman"/>
          <w:szCs w:val="22"/>
          <w:lang w:val="es-ES_tradnl"/>
        </w:rPr>
        <w:t>,</w:t>
      </w:r>
      <w:r w:rsidR="00EF71C2" w:rsidRPr="00FE795A">
        <w:rPr>
          <w:rFonts w:ascii="Times New Roman" w:hAnsi="Times New Roman"/>
          <w:szCs w:val="22"/>
          <w:lang w:val="es-ES_tradnl"/>
        </w:rPr>
        <w:t xml:space="preserve"> las empresa</w:t>
      </w:r>
      <w:r w:rsidR="003C5FCF" w:rsidRPr="00FE795A">
        <w:rPr>
          <w:rFonts w:ascii="Times New Roman" w:hAnsi="Times New Roman"/>
          <w:szCs w:val="22"/>
          <w:lang w:val="es-ES_tradnl"/>
        </w:rPr>
        <w:t>s</w:t>
      </w:r>
      <w:r w:rsidR="00EF71C2" w:rsidRPr="00FE795A">
        <w:rPr>
          <w:rFonts w:ascii="Times New Roman" w:hAnsi="Times New Roman"/>
          <w:szCs w:val="22"/>
          <w:lang w:val="es-ES_tradnl"/>
        </w:rPr>
        <w:t xml:space="preserve"> que desarrollen actividades industriales, entre otras, y que se instalen físicamente en la zona fijada por la ley.</w:t>
      </w:r>
      <w:r w:rsidR="003C5FCF" w:rsidRPr="00FE795A">
        <w:rPr>
          <w:rFonts w:ascii="Times New Roman" w:hAnsi="Times New Roman"/>
          <w:szCs w:val="22"/>
          <w:lang w:val="es-ES_tradnl"/>
        </w:rPr>
        <w:t xml:space="preserve"> Entre otros requisitos</w:t>
      </w:r>
      <w:r w:rsidR="00C501AB" w:rsidRPr="00FE795A">
        <w:rPr>
          <w:rFonts w:ascii="Times New Roman" w:hAnsi="Times New Roman"/>
          <w:szCs w:val="22"/>
          <w:lang w:val="es-ES_tradnl"/>
        </w:rPr>
        <w:t>,</w:t>
      </w:r>
      <w:r w:rsidR="003C5FCF" w:rsidRPr="00FE795A">
        <w:rPr>
          <w:rFonts w:ascii="Times New Roman" w:hAnsi="Times New Roman"/>
          <w:szCs w:val="22"/>
          <w:lang w:val="es-ES_tradnl"/>
        </w:rPr>
        <w:t xml:space="preserve"> </w:t>
      </w:r>
      <w:r w:rsidR="00C501AB" w:rsidRPr="00FE795A">
        <w:rPr>
          <w:rFonts w:ascii="Times New Roman" w:hAnsi="Times New Roman"/>
          <w:szCs w:val="22"/>
          <w:lang w:val="es-ES_tradnl"/>
        </w:rPr>
        <w:t xml:space="preserve">se dispone además que </w:t>
      </w:r>
      <w:r w:rsidR="003C5FCF" w:rsidRPr="00FE795A">
        <w:rPr>
          <w:rFonts w:ascii="Times New Roman" w:hAnsi="Times New Roman"/>
          <w:szCs w:val="22"/>
          <w:lang w:val="es-ES_tradnl"/>
        </w:rPr>
        <w:t xml:space="preserve">para gozar de los beneficios en cuestión, estas empresas </w:t>
      </w:r>
      <w:r w:rsidR="00C501AB" w:rsidRPr="00FE795A">
        <w:rPr>
          <w:rFonts w:ascii="Times New Roman" w:hAnsi="Times New Roman"/>
          <w:szCs w:val="22"/>
          <w:lang w:val="es-ES_tradnl"/>
        </w:rPr>
        <w:t xml:space="preserve">deben </w:t>
      </w:r>
      <w:r w:rsidR="003C5FCF" w:rsidRPr="00FE795A">
        <w:rPr>
          <w:rFonts w:ascii="Times New Roman" w:hAnsi="Times New Roman"/>
          <w:szCs w:val="22"/>
          <w:lang w:val="es-ES_tradnl"/>
        </w:rPr>
        <w:t>incorporar en las mercancías que produzcan, a lo menos, un 25% en mano de obra e insumos de la zona delimitada en la ley.</w:t>
      </w:r>
    </w:p>
    <w:p w:rsidR="009C5264" w:rsidRPr="00FE795A" w:rsidRDefault="003C5FCF">
      <w:pPr>
        <w:rPr>
          <w:rFonts w:ascii="Times New Roman" w:hAnsi="Times New Roman"/>
          <w:szCs w:val="22"/>
          <w:lang w:val="es-ES_tradnl"/>
        </w:rPr>
      </w:pPr>
      <w:r w:rsidRPr="00FE795A">
        <w:rPr>
          <w:rFonts w:ascii="Times New Roman" w:hAnsi="Times New Roman"/>
          <w:szCs w:val="22"/>
          <w:lang w:val="es-ES_tradnl"/>
        </w:rPr>
        <w:t>Sin embargo, el aludido cuerpo legal no define expresamente lo que debe entenderse por “insumos de la zona”, por lo que se hace necesario interpretar lo que quiere decir la ley con esta expresión, así como su aplicación para cada caso particular.</w:t>
      </w:r>
    </w:p>
    <w:p w:rsidR="007B0A78" w:rsidRPr="00FE795A" w:rsidRDefault="007B0A78" w:rsidP="00292BDE">
      <w:pPr>
        <w:numPr>
          <w:ilvl w:val="0"/>
          <w:numId w:val="4"/>
        </w:numPr>
        <w:spacing w:before="240" w:after="240"/>
        <w:ind w:left="426" w:firstLine="0"/>
        <w:rPr>
          <w:rFonts w:ascii="Times New Roman" w:hAnsi="Times New Roman"/>
          <w:b/>
          <w:szCs w:val="22"/>
        </w:rPr>
      </w:pPr>
      <w:r w:rsidRPr="00FE795A">
        <w:rPr>
          <w:rFonts w:ascii="Times New Roman" w:hAnsi="Times New Roman"/>
          <w:b/>
          <w:szCs w:val="22"/>
        </w:rPr>
        <w:t>AN</w:t>
      </w:r>
      <w:r w:rsidR="003B2CC9" w:rsidRPr="00FE795A">
        <w:rPr>
          <w:rFonts w:ascii="Times New Roman" w:hAnsi="Times New Roman"/>
          <w:b/>
          <w:szCs w:val="22"/>
        </w:rPr>
        <w:t>Á</w:t>
      </w:r>
      <w:r w:rsidRPr="00FE795A">
        <w:rPr>
          <w:rFonts w:ascii="Times New Roman" w:hAnsi="Times New Roman"/>
          <w:b/>
          <w:szCs w:val="22"/>
        </w:rPr>
        <w:t>LISIS</w:t>
      </w:r>
      <w:r w:rsidR="003B2CC9" w:rsidRPr="00FE795A">
        <w:rPr>
          <w:rFonts w:ascii="Times New Roman" w:hAnsi="Times New Roman"/>
          <w:b/>
          <w:szCs w:val="22"/>
        </w:rPr>
        <w:t>.</w:t>
      </w:r>
    </w:p>
    <w:p w:rsidR="0042495A" w:rsidRPr="00FE795A" w:rsidRDefault="00377291" w:rsidP="00377291">
      <w:pPr>
        <w:rPr>
          <w:rFonts w:ascii="Times New Roman" w:hAnsi="Times New Roman"/>
          <w:szCs w:val="22"/>
        </w:rPr>
      </w:pPr>
      <w:r w:rsidRPr="00FE795A">
        <w:rPr>
          <w:rFonts w:ascii="Times New Roman" w:hAnsi="Times New Roman"/>
          <w:szCs w:val="22"/>
        </w:rPr>
        <w:t>La Ley N° 18.392, conocida como Ley Navarino, establece un régimen preferencial y tributario en favor de los contribuyentes radicados en el territorio que indica dicho texto legal.</w:t>
      </w:r>
    </w:p>
    <w:p w:rsidR="003426F6" w:rsidRPr="00FE795A" w:rsidRDefault="00D26581" w:rsidP="003426F6">
      <w:pPr>
        <w:rPr>
          <w:rFonts w:ascii="Times New Roman" w:hAnsi="Times New Roman"/>
          <w:szCs w:val="22"/>
        </w:rPr>
      </w:pPr>
      <w:r w:rsidRPr="00FE795A">
        <w:rPr>
          <w:rFonts w:ascii="Times New Roman" w:hAnsi="Times New Roman"/>
          <w:szCs w:val="22"/>
        </w:rPr>
        <w:t>D</w:t>
      </w:r>
      <w:r w:rsidR="003426F6" w:rsidRPr="00FE795A">
        <w:rPr>
          <w:rFonts w:ascii="Times New Roman" w:hAnsi="Times New Roman"/>
          <w:szCs w:val="22"/>
        </w:rPr>
        <w:t xml:space="preserve">e conformidad con </w:t>
      </w:r>
      <w:r w:rsidR="00377291" w:rsidRPr="00FE795A">
        <w:rPr>
          <w:rFonts w:ascii="Times New Roman" w:hAnsi="Times New Roman"/>
          <w:szCs w:val="22"/>
        </w:rPr>
        <w:t>los incisos segundos y siguientes del a</w:t>
      </w:r>
      <w:r w:rsidR="003426F6" w:rsidRPr="00FE795A">
        <w:rPr>
          <w:rFonts w:ascii="Times New Roman" w:hAnsi="Times New Roman"/>
          <w:szCs w:val="22"/>
        </w:rPr>
        <w:t>rtículo 1° del citado texto legal, gozarán de las franquicias en cuestión</w:t>
      </w:r>
      <w:r w:rsidRPr="00FE795A">
        <w:rPr>
          <w:rFonts w:ascii="Times New Roman" w:hAnsi="Times New Roman"/>
          <w:szCs w:val="22"/>
        </w:rPr>
        <w:t>,</w:t>
      </w:r>
      <w:r w:rsidR="003426F6" w:rsidRPr="00FE795A">
        <w:rPr>
          <w:rFonts w:ascii="Times New Roman" w:hAnsi="Times New Roman"/>
          <w:szCs w:val="22"/>
        </w:rPr>
        <w:t xml:space="preserve"> las empresas que desarrollen exclusivamente actividades industriales, mineras, de explotación de las riquezas del mar, de transporte y de turismo, que se instalen físicamente en terrenos ubicados dentro de los límites de la porción del territorio nacional que al efecto establece la ley, siempre que su establecimiento y actividad signifique la racional utilización de los recursos naturales y que asegure la preservación de la naturaleza y del medio ambiente. No gozarán de estas franquicias las industrias extractivas de hidrocarburos, como tampoco las procesadoras de éstos en cualquiera de sus estados.</w:t>
      </w:r>
    </w:p>
    <w:p w:rsidR="003426F6" w:rsidRPr="00FE795A" w:rsidRDefault="003426F6" w:rsidP="003426F6">
      <w:pPr>
        <w:rPr>
          <w:rFonts w:ascii="Times New Roman" w:hAnsi="Times New Roman"/>
          <w:szCs w:val="22"/>
        </w:rPr>
      </w:pPr>
      <w:r w:rsidRPr="00FE795A">
        <w:rPr>
          <w:rFonts w:ascii="Times New Roman" w:hAnsi="Times New Roman"/>
          <w:szCs w:val="22"/>
        </w:rPr>
        <w:t xml:space="preserve">Para estos efectos, agrega </w:t>
      </w:r>
      <w:r w:rsidR="000D02E8" w:rsidRPr="00FE795A">
        <w:rPr>
          <w:rFonts w:ascii="Times New Roman" w:hAnsi="Times New Roman"/>
          <w:szCs w:val="22"/>
        </w:rPr>
        <w:t>la ley,</w:t>
      </w:r>
      <w:r w:rsidRPr="00FE795A">
        <w:rPr>
          <w:rFonts w:ascii="Times New Roman" w:hAnsi="Times New Roman"/>
          <w:szCs w:val="22"/>
        </w:rPr>
        <w:t xml:space="preserve"> se entenderá por empresas industriales aquellas que desarrollan un conjunto de actividades en fábricas, plantas o talleres destinados a la elaboración, conservación, transformación, armaduría y confección de sustancias, productos o artículos en estado natural o ya elaborados, o para la prestación de servicios industriales, tales como molienda, tintorería y acabado o terminación de artículos y otros que sean necesarios directamente para la realización de los procesos productivos de las empresas antes referidas, incorporen en las mercancías que produzcan, a los menos, un 25% en mano de obra e insumos de la zona delimitada en el inciso primero de este artículo. Dispone asimismo la norma que será competente para pronunciarse, en caso de duda, acerca del porcentaje de integración en el producto final, de los referidos conceptos, la Secretaría Regional de Planificación y Coordinación.</w:t>
      </w:r>
    </w:p>
    <w:p w:rsidR="00A51A78" w:rsidRPr="00FE795A" w:rsidRDefault="003426F6" w:rsidP="003426F6">
      <w:pPr>
        <w:rPr>
          <w:rFonts w:ascii="Times New Roman" w:hAnsi="Times New Roman"/>
          <w:szCs w:val="22"/>
        </w:rPr>
      </w:pPr>
      <w:r w:rsidRPr="00FE795A">
        <w:rPr>
          <w:rFonts w:ascii="Times New Roman" w:hAnsi="Times New Roman"/>
          <w:szCs w:val="22"/>
        </w:rPr>
        <w:t xml:space="preserve">Por su parte, </w:t>
      </w:r>
      <w:r w:rsidR="002D40F0" w:rsidRPr="00FE795A">
        <w:rPr>
          <w:rFonts w:ascii="Times New Roman" w:hAnsi="Times New Roman"/>
          <w:szCs w:val="22"/>
        </w:rPr>
        <w:t xml:space="preserve">y de acuerdo con el mismo texto legal, </w:t>
      </w:r>
      <w:r w:rsidRPr="00FE795A">
        <w:rPr>
          <w:rFonts w:ascii="Times New Roman" w:hAnsi="Times New Roman"/>
          <w:szCs w:val="22"/>
        </w:rPr>
        <w:t>corresponde al Intendente Regional aprobar por resolución la instalación de estas empresas, con indicación precisa de la ubicación y deslindes de los terrenos de su establecimiento. Dicha Resolución requiere, para su dictación, el informe favorable del Secretario Regional Ministerial de Hacienda.</w:t>
      </w:r>
    </w:p>
    <w:p w:rsidR="00983B57" w:rsidRPr="00FE795A" w:rsidRDefault="002D40F0" w:rsidP="00983B57">
      <w:pPr>
        <w:rPr>
          <w:rFonts w:ascii="Times New Roman" w:hAnsi="Times New Roman"/>
          <w:szCs w:val="22"/>
        </w:rPr>
      </w:pPr>
      <w:r w:rsidRPr="00FE795A">
        <w:rPr>
          <w:rFonts w:ascii="Times New Roman" w:hAnsi="Times New Roman"/>
          <w:szCs w:val="22"/>
        </w:rPr>
        <w:t>Al respecto, la jurisprudencia</w:t>
      </w:r>
      <w:r w:rsidR="000B6392" w:rsidRPr="00FE795A">
        <w:rPr>
          <w:rStyle w:val="Refdenotaalpie"/>
          <w:rFonts w:ascii="Times New Roman" w:hAnsi="Times New Roman"/>
          <w:szCs w:val="22"/>
        </w:rPr>
        <w:footnoteReference w:id="1"/>
      </w:r>
      <w:r w:rsidRPr="00FE795A">
        <w:rPr>
          <w:rFonts w:ascii="Times New Roman" w:hAnsi="Times New Roman"/>
          <w:szCs w:val="22"/>
        </w:rPr>
        <w:t xml:space="preserve"> del Servicio ha expresado que</w:t>
      </w:r>
      <w:r w:rsidR="00AE5B8C" w:rsidRPr="00FE795A">
        <w:rPr>
          <w:rFonts w:ascii="Times New Roman" w:hAnsi="Times New Roman"/>
          <w:szCs w:val="22"/>
        </w:rPr>
        <w:t xml:space="preserve"> de conformidad con lo dispuesto por el artículo 10</w:t>
      </w:r>
      <w:r w:rsidR="0080363E" w:rsidRPr="00FE795A">
        <w:rPr>
          <w:rFonts w:ascii="Times New Roman" w:hAnsi="Times New Roman"/>
          <w:szCs w:val="22"/>
        </w:rPr>
        <w:t>,</w:t>
      </w:r>
      <w:r w:rsidR="00AE5B8C" w:rsidRPr="00FE795A">
        <w:rPr>
          <w:rFonts w:ascii="Times New Roman" w:hAnsi="Times New Roman"/>
          <w:szCs w:val="22"/>
        </w:rPr>
        <w:t xml:space="preserve"> </w:t>
      </w:r>
      <w:r w:rsidR="00983B57" w:rsidRPr="00FE795A">
        <w:rPr>
          <w:rFonts w:ascii="Times New Roman" w:hAnsi="Times New Roman"/>
          <w:szCs w:val="22"/>
        </w:rPr>
        <w:t>de la Ley N°18.392</w:t>
      </w:r>
      <w:r w:rsidR="00AE5B8C" w:rsidRPr="00FE795A">
        <w:rPr>
          <w:rFonts w:ascii="Times New Roman" w:hAnsi="Times New Roman"/>
          <w:szCs w:val="22"/>
        </w:rPr>
        <w:t xml:space="preserve">, </w:t>
      </w:r>
      <w:r w:rsidR="00983B57" w:rsidRPr="00FE795A">
        <w:rPr>
          <w:rFonts w:ascii="Times New Roman" w:hAnsi="Times New Roman"/>
          <w:szCs w:val="22"/>
        </w:rPr>
        <w:t xml:space="preserve">el Estado de Chile otorgará una bonificación a las empresas </w:t>
      </w:r>
      <w:r w:rsidR="00320C5D" w:rsidRPr="00FE795A">
        <w:rPr>
          <w:rFonts w:ascii="Times New Roman" w:hAnsi="Times New Roman"/>
          <w:szCs w:val="22"/>
        </w:rPr>
        <w:t xml:space="preserve">antes </w:t>
      </w:r>
      <w:r w:rsidR="00983B57" w:rsidRPr="00FE795A">
        <w:rPr>
          <w:rFonts w:ascii="Times New Roman" w:hAnsi="Times New Roman"/>
          <w:szCs w:val="22"/>
        </w:rPr>
        <w:t>indicadas, equivalente al 20% del valor de las ventas de los bienes producidos por ellas o del valor de los servicios, según se trate, deducido el impuesto al Valor Agregado que las haya afectado, que se efectúen o se presten desde el territorio de la zona descrita en el mismo artículo, al resto del país, que no sea la Zona de Extensión de la Zona Franca de Punta Arenas.</w:t>
      </w:r>
    </w:p>
    <w:p w:rsidR="00983B57" w:rsidRPr="00FE795A" w:rsidRDefault="000B6392" w:rsidP="00983B57">
      <w:pPr>
        <w:rPr>
          <w:rFonts w:ascii="Times New Roman" w:hAnsi="Times New Roman"/>
          <w:szCs w:val="22"/>
        </w:rPr>
      </w:pPr>
      <w:r w:rsidRPr="00FE795A">
        <w:rPr>
          <w:rFonts w:ascii="Times New Roman" w:hAnsi="Times New Roman"/>
          <w:szCs w:val="22"/>
        </w:rPr>
        <w:lastRenderedPageBreak/>
        <w:t>Agrega el mencionado dictamen, que</w:t>
      </w:r>
      <w:r w:rsidR="00983B57" w:rsidRPr="00FE795A">
        <w:rPr>
          <w:rFonts w:ascii="Times New Roman" w:hAnsi="Times New Roman"/>
          <w:szCs w:val="22"/>
        </w:rPr>
        <w:t xml:space="preserve"> la ley faculta al Servicio de Tesorerías para pagar la mencionada bonificación, una vez cumplida la obligación del Impuesto al Valor Agregado que les haya afectado y se haya acompañado declaración jurada ante notario en el sentido de que las mercancías por las cuales se solicita la bonificación han cumplido con la exigencia de integración a que se refiere el inciso tercero del artículo 1°</w:t>
      </w:r>
      <w:r w:rsidR="0080363E" w:rsidRPr="00FE795A">
        <w:rPr>
          <w:rFonts w:ascii="Times New Roman" w:hAnsi="Times New Roman"/>
          <w:szCs w:val="22"/>
        </w:rPr>
        <w:t>,</w:t>
      </w:r>
      <w:r w:rsidR="00983B57" w:rsidRPr="00FE795A">
        <w:rPr>
          <w:rFonts w:ascii="Times New Roman" w:hAnsi="Times New Roman"/>
          <w:szCs w:val="22"/>
        </w:rPr>
        <w:t xml:space="preserve"> de la ley. </w:t>
      </w:r>
    </w:p>
    <w:p w:rsidR="00A912DF" w:rsidRPr="00FE795A" w:rsidRDefault="000B6392" w:rsidP="00A912DF">
      <w:pPr>
        <w:rPr>
          <w:rFonts w:ascii="Times New Roman" w:hAnsi="Times New Roman"/>
          <w:szCs w:val="22"/>
        </w:rPr>
      </w:pPr>
      <w:r w:rsidRPr="00FE795A">
        <w:rPr>
          <w:rFonts w:ascii="Times New Roman" w:hAnsi="Times New Roman"/>
          <w:szCs w:val="22"/>
        </w:rPr>
        <w:t xml:space="preserve">Finalmente concluye </w:t>
      </w:r>
      <w:r w:rsidR="0080363E" w:rsidRPr="00FE795A">
        <w:rPr>
          <w:rFonts w:ascii="Times New Roman" w:hAnsi="Times New Roman"/>
          <w:szCs w:val="22"/>
        </w:rPr>
        <w:t xml:space="preserve">que </w:t>
      </w:r>
      <w:r w:rsidR="00A912DF" w:rsidRPr="00FE795A">
        <w:rPr>
          <w:rFonts w:ascii="Times New Roman" w:hAnsi="Times New Roman"/>
          <w:szCs w:val="22"/>
        </w:rPr>
        <w:t>este Servicio carece de competencia para pronunciarse sobre la exigencia de la integración a que se refiere el inciso 3°</w:t>
      </w:r>
      <w:r w:rsidR="0080363E" w:rsidRPr="00FE795A">
        <w:rPr>
          <w:rFonts w:ascii="Times New Roman" w:hAnsi="Times New Roman"/>
          <w:szCs w:val="22"/>
        </w:rPr>
        <w:t>,</w:t>
      </w:r>
      <w:r w:rsidR="00A912DF" w:rsidRPr="00FE795A">
        <w:rPr>
          <w:rFonts w:ascii="Times New Roman" w:hAnsi="Times New Roman"/>
          <w:szCs w:val="22"/>
        </w:rPr>
        <w:t xml:space="preserve"> del artículo 1°</w:t>
      </w:r>
      <w:r w:rsidR="0080363E" w:rsidRPr="00FE795A">
        <w:rPr>
          <w:rFonts w:ascii="Times New Roman" w:hAnsi="Times New Roman"/>
          <w:szCs w:val="22"/>
        </w:rPr>
        <w:t>,</w:t>
      </w:r>
      <w:r w:rsidR="00A912DF" w:rsidRPr="00FE795A">
        <w:rPr>
          <w:rFonts w:ascii="Times New Roman" w:hAnsi="Times New Roman"/>
          <w:szCs w:val="22"/>
        </w:rPr>
        <w:t xml:space="preserve"> de la Ley N° 18.392, ya que dicha norma no confiere expresamente a este organismo facultades sobre tal materia, correspondiendo su conocimiento, a nuestro entender, a los organismos a que se refiere el inciso tercero y siguientes del artículo 1° de la ley en comento, siendo ellos los encargados, según lo prescribe la normativa, de pronunciarse en caso de duda, y de autorizar o aprobar la instalación de las empresas favorecidas con las franquicias que se establecen, anuencia que está obviamente supeditada al cumplimiento de los requisitos que exigen las mencionadas disposiciones legales, esto es, que se trate de empresas que desarrollen las actividades y los procesos productivos que indica dicho precepto legal.</w:t>
      </w:r>
    </w:p>
    <w:p w:rsidR="000B6392" w:rsidRPr="00FE795A" w:rsidRDefault="000B6392" w:rsidP="000B6392">
      <w:pPr>
        <w:spacing w:before="240" w:after="240"/>
        <w:ind w:left="426"/>
        <w:rPr>
          <w:rFonts w:ascii="Times New Roman" w:hAnsi="Times New Roman"/>
          <w:b/>
          <w:szCs w:val="22"/>
        </w:rPr>
      </w:pPr>
      <w:r w:rsidRPr="00FE795A">
        <w:rPr>
          <w:rFonts w:ascii="Times New Roman" w:hAnsi="Times New Roman"/>
          <w:b/>
          <w:szCs w:val="22"/>
        </w:rPr>
        <w:t>III. CONCLUSIÓN.</w:t>
      </w:r>
    </w:p>
    <w:p w:rsidR="000B6392" w:rsidRPr="00FE795A" w:rsidRDefault="0080363E">
      <w:pPr>
        <w:rPr>
          <w:rFonts w:ascii="Times New Roman" w:hAnsi="Times New Roman"/>
          <w:szCs w:val="22"/>
        </w:rPr>
      </w:pPr>
      <w:r w:rsidRPr="00FE795A">
        <w:rPr>
          <w:rFonts w:ascii="Times New Roman" w:hAnsi="Times New Roman"/>
          <w:szCs w:val="22"/>
        </w:rPr>
        <w:t>El Servicio carece de competencia para pronunciarse sobre la exigencia de la integración a que se refiere el inciso 3°, del artículo 1°, de la Ley N° 18.392</w:t>
      </w:r>
    </w:p>
    <w:p w:rsidR="000B6392" w:rsidRPr="00FE795A" w:rsidRDefault="000B6392">
      <w:pPr>
        <w:rPr>
          <w:rFonts w:ascii="Times New Roman" w:hAnsi="Times New Roman"/>
          <w:szCs w:val="22"/>
        </w:rPr>
      </w:pPr>
    </w:p>
    <w:p w:rsidR="0042495A" w:rsidRPr="00FE795A" w:rsidRDefault="0042495A">
      <w:pPr>
        <w:spacing w:before="0" w:after="0"/>
        <w:rPr>
          <w:rFonts w:ascii="Times New Roman" w:hAnsi="Times New Roman"/>
          <w:szCs w:val="22"/>
        </w:rPr>
      </w:pPr>
    </w:p>
    <w:p w:rsidR="0042495A" w:rsidRPr="00FE795A" w:rsidRDefault="0042495A">
      <w:pPr>
        <w:spacing w:before="0" w:after="0"/>
        <w:rPr>
          <w:rFonts w:ascii="Times New Roman" w:hAnsi="Times New Roman"/>
          <w:szCs w:val="22"/>
        </w:rPr>
      </w:pPr>
    </w:p>
    <w:p w:rsidR="0042495A" w:rsidRPr="00FE795A" w:rsidRDefault="0042495A">
      <w:pPr>
        <w:spacing w:before="0" w:after="0"/>
        <w:rPr>
          <w:rFonts w:ascii="Times New Roman" w:hAnsi="Times New Roman"/>
          <w:szCs w:val="22"/>
        </w:rPr>
      </w:pPr>
    </w:p>
    <w:p w:rsidR="0042495A" w:rsidRPr="00FE795A" w:rsidRDefault="0049352B">
      <w:pPr>
        <w:pStyle w:val="Ttulo6"/>
        <w:spacing w:before="0" w:after="0"/>
        <w:rPr>
          <w:rFonts w:ascii="Times New Roman" w:hAnsi="Times New Roman" w:cs="Times New Roman"/>
          <w:szCs w:val="22"/>
        </w:rPr>
      </w:pPr>
      <w:r w:rsidRPr="00FE795A">
        <w:rPr>
          <w:rFonts w:ascii="Times New Roman" w:hAnsi="Times New Roman" w:cs="Times New Roman"/>
          <w:szCs w:val="22"/>
        </w:rPr>
        <w:t>MARIO VILA FERNÁNDEZ</w:t>
      </w:r>
    </w:p>
    <w:p w:rsidR="0042495A" w:rsidRPr="00FE795A" w:rsidRDefault="0042495A">
      <w:pPr>
        <w:spacing w:before="0" w:after="0"/>
        <w:ind w:left="3960"/>
        <w:jc w:val="center"/>
        <w:rPr>
          <w:rFonts w:ascii="Times New Roman" w:hAnsi="Times New Roman"/>
          <w:b/>
          <w:bCs/>
          <w:szCs w:val="22"/>
        </w:rPr>
      </w:pPr>
      <w:r w:rsidRPr="00FE795A">
        <w:rPr>
          <w:rFonts w:ascii="Times New Roman" w:hAnsi="Times New Roman"/>
          <w:b/>
          <w:bCs/>
          <w:szCs w:val="22"/>
        </w:rPr>
        <w:t xml:space="preserve">DIRECTOR </w:t>
      </w:r>
      <w:r w:rsidR="0049352B" w:rsidRPr="00FE795A">
        <w:rPr>
          <w:rFonts w:ascii="Times New Roman" w:hAnsi="Times New Roman"/>
          <w:b/>
          <w:bCs/>
          <w:szCs w:val="22"/>
        </w:rPr>
        <w:t>SUBROGANTE</w:t>
      </w:r>
    </w:p>
    <w:p w:rsidR="0042495A" w:rsidRPr="00FE795A" w:rsidRDefault="0042495A">
      <w:pPr>
        <w:spacing w:before="0" w:after="0"/>
        <w:rPr>
          <w:rFonts w:ascii="Times New Roman" w:hAnsi="Times New Roman"/>
          <w:szCs w:val="22"/>
        </w:rPr>
      </w:pPr>
    </w:p>
    <w:p w:rsidR="0042495A" w:rsidRPr="00FE795A" w:rsidRDefault="0042495A">
      <w:pPr>
        <w:spacing w:before="0" w:after="0"/>
        <w:rPr>
          <w:rFonts w:ascii="Times New Roman" w:hAnsi="Times New Roman"/>
          <w:szCs w:val="22"/>
        </w:rPr>
      </w:pPr>
    </w:p>
    <w:p w:rsidR="00F6797E" w:rsidRDefault="00F6797E" w:rsidP="00716982">
      <w:pPr>
        <w:spacing w:before="0" w:after="0"/>
        <w:jc w:val="center"/>
        <w:rPr>
          <w:rFonts w:ascii="Times New Roman" w:hAnsi="Times New Roman"/>
          <w:szCs w:val="22"/>
        </w:rPr>
      </w:pPr>
    </w:p>
    <w:p w:rsidR="00716982" w:rsidRDefault="00716982" w:rsidP="00716982">
      <w:pPr>
        <w:spacing w:before="0" w:after="0"/>
        <w:jc w:val="center"/>
        <w:rPr>
          <w:rFonts w:ascii="Times New Roman" w:hAnsi="Times New Roman"/>
          <w:szCs w:val="22"/>
        </w:rPr>
      </w:pPr>
    </w:p>
    <w:p w:rsidR="00CA0DCD" w:rsidRDefault="00CA0DCD" w:rsidP="00716982">
      <w:pPr>
        <w:spacing w:before="0" w:after="0"/>
        <w:jc w:val="center"/>
        <w:rPr>
          <w:rFonts w:ascii="Times New Roman" w:hAnsi="Times New Roman"/>
          <w:szCs w:val="22"/>
        </w:rPr>
      </w:pPr>
    </w:p>
    <w:p w:rsidR="00CA0DCD" w:rsidRDefault="00CA0DCD" w:rsidP="00716982">
      <w:pPr>
        <w:spacing w:before="0" w:after="0"/>
        <w:jc w:val="center"/>
        <w:rPr>
          <w:rFonts w:ascii="Times New Roman" w:hAnsi="Times New Roman"/>
          <w:szCs w:val="22"/>
        </w:rPr>
      </w:pPr>
    </w:p>
    <w:p w:rsidR="00CA0DCD" w:rsidRDefault="00CA0DCD" w:rsidP="00716982">
      <w:pPr>
        <w:spacing w:before="0" w:after="0"/>
        <w:jc w:val="center"/>
        <w:rPr>
          <w:rFonts w:ascii="Times New Roman" w:hAnsi="Times New Roman"/>
          <w:szCs w:val="22"/>
        </w:rPr>
      </w:pPr>
    </w:p>
    <w:p w:rsidR="00716982" w:rsidRDefault="00716982" w:rsidP="00716982">
      <w:pPr>
        <w:spacing w:before="0" w:after="0"/>
        <w:jc w:val="center"/>
        <w:rPr>
          <w:rFonts w:ascii="Times New Roman" w:hAnsi="Times New Roman"/>
          <w:szCs w:val="22"/>
        </w:rPr>
      </w:pPr>
    </w:p>
    <w:p w:rsidR="00716982" w:rsidRDefault="00716982" w:rsidP="00716982">
      <w:pPr>
        <w:spacing w:before="0" w:after="0"/>
        <w:jc w:val="center"/>
        <w:rPr>
          <w:rFonts w:ascii="Times New Roman" w:hAnsi="Times New Roman"/>
          <w:szCs w:val="22"/>
        </w:rPr>
      </w:pPr>
      <w:r>
        <w:rPr>
          <w:rFonts w:ascii="Times New Roman" w:hAnsi="Times New Roman"/>
          <w:szCs w:val="22"/>
        </w:rPr>
        <w:t>Oficio N° 2819, de 19.10.2012</w:t>
      </w:r>
    </w:p>
    <w:p w:rsidR="00716982" w:rsidRDefault="00716982" w:rsidP="00716982">
      <w:pPr>
        <w:spacing w:before="0" w:after="0"/>
        <w:jc w:val="center"/>
        <w:rPr>
          <w:rFonts w:ascii="Times New Roman" w:hAnsi="Times New Roman"/>
          <w:b/>
          <w:szCs w:val="22"/>
        </w:rPr>
      </w:pPr>
      <w:r>
        <w:rPr>
          <w:rFonts w:ascii="Times New Roman" w:hAnsi="Times New Roman"/>
          <w:b/>
          <w:szCs w:val="22"/>
        </w:rPr>
        <w:t>Subdirección Normativa</w:t>
      </w:r>
    </w:p>
    <w:p w:rsidR="00716982" w:rsidRPr="00716982" w:rsidRDefault="00716982" w:rsidP="00716982">
      <w:pPr>
        <w:spacing w:before="0" w:after="0"/>
        <w:jc w:val="center"/>
        <w:rPr>
          <w:rFonts w:ascii="Times New Roman" w:hAnsi="Times New Roman"/>
          <w:szCs w:val="22"/>
        </w:rPr>
      </w:pPr>
      <w:r>
        <w:rPr>
          <w:rFonts w:ascii="Times New Roman" w:hAnsi="Times New Roman"/>
          <w:szCs w:val="22"/>
        </w:rPr>
        <w:t>Dpto. de Impuestos Directos</w:t>
      </w:r>
    </w:p>
    <w:sectPr w:rsidR="00716982" w:rsidRPr="00716982" w:rsidSect="00931282">
      <w:pgSz w:w="12242" w:h="18722" w:code="165"/>
      <w:pgMar w:top="1247" w:right="1418" w:bottom="1247"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5EF8" w:rsidRDefault="00655EF8" w:rsidP="000B6392">
      <w:pPr>
        <w:spacing w:before="0" w:after="0"/>
      </w:pPr>
      <w:r>
        <w:separator/>
      </w:r>
    </w:p>
  </w:endnote>
  <w:endnote w:type="continuationSeparator" w:id="0">
    <w:p w:rsidR="00655EF8" w:rsidRDefault="00655EF8" w:rsidP="000B6392">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5EF8" w:rsidRDefault="00655EF8" w:rsidP="000B6392">
      <w:pPr>
        <w:spacing w:before="0" w:after="0"/>
      </w:pPr>
      <w:r>
        <w:separator/>
      </w:r>
    </w:p>
  </w:footnote>
  <w:footnote w:type="continuationSeparator" w:id="0">
    <w:p w:rsidR="00655EF8" w:rsidRDefault="00655EF8" w:rsidP="000B6392">
      <w:pPr>
        <w:spacing w:before="0" w:after="0"/>
      </w:pPr>
      <w:r>
        <w:continuationSeparator/>
      </w:r>
    </w:p>
  </w:footnote>
  <w:footnote w:id="1">
    <w:p w:rsidR="000B6392" w:rsidRPr="00716982" w:rsidRDefault="000B6392">
      <w:pPr>
        <w:pStyle w:val="Textonotapie"/>
        <w:rPr>
          <w:rFonts w:ascii="Times New Roman" w:hAnsi="Times New Roman"/>
          <w:lang w:val="es-CL"/>
        </w:rPr>
      </w:pPr>
      <w:r w:rsidRPr="00716982">
        <w:rPr>
          <w:rStyle w:val="Refdenotaalpie"/>
          <w:rFonts w:ascii="Times New Roman" w:hAnsi="Times New Roman"/>
        </w:rPr>
        <w:footnoteRef/>
      </w:r>
      <w:r w:rsidRPr="00716982">
        <w:rPr>
          <w:rFonts w:ascii="Times New Roman" w:hAnsi="Times New Roman"/>
        </w:rPr>
        <w:t xml:space="preserve"> </w:t>
      </w:r>
      <w:r w:rsidRPr="00716982">
        <w:rPr>
          <w:rFonts w:ascii="Times New Roman" w:hAnsi="Times New Roman"/>
          <w:lang w:val="es-CL"/>
        </w:rPr>
        <w:t>Oficio N° 259, de 21.01.2003</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C40901"/>
    <w:multiLevelType w:val="hybridMultilevel"/>
    <w:tmpl w:val="C800305E"/>
    <w:lvl w:ilvl="0" w:tplc="88BE5BD0">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nsid w:val="45730037"/>
    <w:multiLevelType w:val="hybridMultilevel"/>
    <w:tmpl w:val="CC7C58E8"/>
    <w:lvl w:ilvl="0" w:tplc="A62EDE82">
      <w:start w:val="3"/>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4C3F5671"/>
    <w:multiLevelType w:val="hybridMultilevel"/>
    <w:tmpl w:val="C136DE98"/>
    <w:lvl w:ilvl="0" w:tplc="581E04CE">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71A63E5A"/>
    <w:multiLevelType w:val="hybridMultilevel"/>
    <w:tmpl w:val="013A79FE"/>
    <w:lvl w:ilvl="0" w:tplc="1076E33C">
      <w:start w:val="3"/>
      <w:numFmt w:val="bullet"/>
      <w:lvlText w:val="-"/>
      <w:lvlJc w:val="left"/>
      <w:pPr>
        <w:tabs>
          <w:tab w:val="num" w:pos="720"/>
        </w:tabs>
        <w:ind w:left="720" w:hanging="360"/>
      </w:pPr>
      <w:rPr>
        <w:rFonts w:ascii="Times New Roman" w:eastAsia="Times New Roman" w:hAnsi="Times New Roman" w:cs="Times New Roman" w:hint="default"/>
        <w:sz w:val="24"/>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oNotTrackMoves/>
  <w:defaultTabStop w:val="708"/>
  <w:hyphenationZone w:val="425"/>
  <w:drawingGridHorizontalSpacing w:val="11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62BC6"/>
    <w:rsid w:val="00090C13"/>
    <w:rsid w:val="000B6392"/>
    <w:rsid w:val="000D02E8"/>
    <w:rsid w:val="0014774C"/>
    <w:rsid w:val="00150C71"/>
    <w:rsid w:val="001A59C8"/>
    <w:rsid w:val="00243C51"/>
    <w:rsid w:val="00292BDE"/>
    <w:rsid w:val="00295BA3"/>
    <w:rsid w:val="002C02CC"/>
    <w:rsid w:val="002D40F0"/>
    <w:rsid w:val="00320C5D"/>
    <w:rsid w:val="003426F6"/>
    <w:rsid w:val="00377291"/>
    <w:rsid w:val="003B2CC9"/>
    <w:rsid w:val="003C5FCF"/>
    <w:rsid w:val="003C7C67"/>
    <w:rsid w:val="003D34DE"/>
    <w:rsid w:val="003E7E78"/>
    <w:rsid w:val="00401A44"/>
    <w:rsid w:val="0042495A"/>
    <w:rsid w:val="00456139"/>
    <w:rsid w:val="00465C98"/>
    <w:rsid w:val="0049352B"/>
    <w:rsid w:val="00562BC6"/>
    <w:rsid w:val="00622267"/>
    <w:rsid w:val="00655EF8"/>
    <w:rsid w:val="00667501"/>
    <w:rsid w:val="006B6F7E"/>
    <w:rsid w:val="00716982"/>
    <w:rsid w:val="00716A25"/>
    <w:rsid w:val="007A23B9"/>
    <w:rsid w:val="007B0A78"/>
    <w:rsid w:val="007B3F74"/>
    <w:rsid w:val="007C0C65"/>
    <w:rsid w:val="0080363E"/>
    <w:rsid w:val="00843564"/>
    <w:rsid w:val="00850B0C"/>
    <w:rsid w:val="00874BAA"/>
    <w:rsid w:val="008B2FDC"/>
    <w:rsid w:val="0091363E"/>
    <w:rsid w:val="00931282"/>
    <w:rsid w:val="00981438"/>
    <w:rsid w:val="00982295"/>
    <w:rsid w:val="00983B57"/>
    <w:rsid w:val="009C5264"/>
    <w:rsid w:val="00A13802"/>
    <w:rsid w:val="00A3039A"/>
    <w:rsid w:val="00A51A78"/>
    <w:rsid w:val="00A91105"/>
    <w:rsid w:val="00A912DF"/>
    <w:rsid w:val="00A9606C"/>
    <w:rsid w:val="00AE5B8C"/>
    <w:rsid w:val="00B52D54"/>
    <w:rsid w:val="00BE3A07"/>
    <w:rsid w:val="00C501AB"/>
    <w:rsid w:val="00C67258"/>
    <w:rsid w:val="00C67E4C"/>
    <w:rsid w:val="00CA0DCD"/>
    <w:rsid w:val="00CE335F"/>
    <w:rsid w:val="00D26581"/>
    <w:rsid w:val="00DA4E84"/>
    <w:rsid w:val="00E22FC6"/>
    <w:rsid w:val="00EB14A1"/>
    <w:rsid w:val="00EE1065"/>
    <w:rsid w:val="00EF71C2"/>
    <w:rsid w:val="00F470C5"/>
    <w:rsid w:val="00F639A4"/>
    <w:rsid w:val="00F6797E"/>
    <w:rsid w:val="00FE795A"/>
  </w:rsids>
  <m:mathPr>
    <m:mathFont m:val="Cambria Math"/>
    <m:brkBin m:val="before"/>
    <m:brkBinSub m:val="--"/>
    <m:smallFrac m:val="off"/>
    <m:dispDef/>
    <m:lMargin m:val="0"/>
    <m:rMargin m:val="0"/>
    <m:defJc m:val="centerGroup"/>
    <m:wrapIndent m:val="1440"/>
    <m:intLim m:val="subSup"/>
    <m:naryLim m:val="undOvr"/>
  </m:mathPr>
  <w:uiCompat97To2003/>
  <w:themeFontLang w:val="es-C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L" w:eastAsia="es-C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02CC"/>
    <w:pPr>
      <w:spacing w:before="120" w:after="120"/>
      <w:jc w:val="both"/>
    </w:pPr>
    <w:rPr>
      <w:rFonts w:ascii="Arial" w:hAnsi="Arial"/>
      <w:sz w:val="22"/>
      <w:szCs w:val="24"/>
      <w:lang w:val="es-ES" w:eastAsia="es-ES"/>
    </w:rPr>
  </w:style>
  <w:style w:type="paragraph" w:styleId="Ttulo1">
    <w:name w:val="heading 1"/>
    <w:basedOn w:val="Normal"/>
    <w:next w:val="Normal"/>
    <w:qFormat/>
    <w:rsid w:val="002C02CC"/>
    <w:pPr>
      <w:keepNext/>
      <w:outlineLvl w:val="0"/>
    </w:pPr>
    <w:rPr>
      <w:rFonts w:cs="Arial"/>
      <w:b/>
      <w:bCs/>
    </w:rPr>
  </w:style>
  <w:style w:type="paragraph" w:styleId="Ttulo2">
    <w:name w:val="heading 2"/>
    <w:basedOn w:val="Normal"/>
    <w:next w:val="Normal"/>
    <w:qFormat/>
    <w:rsid w:val="002C02CC"/>
    <w:pPr>
      <w:keepNext/>
      <w:ind w:left="5400"/>
      <w:outlineLvl w:val="1"/>
    </w:pPr>
    <w:rPr>
      <w:rFonts w:cs="Arial"/>
      <w:b/>
      <w:bCs/>
    </w:rPr>
  </w:style>
  <w:style w:type="paragraph" w:styleId="Ttulo3">
    <w:name w:val="heading 3"/>
    <w:basedOn w:val="Normal"/>
    <w:next w:val="Normal"/>
    <w:qFormat/>
    <w:rsid w:val="002C02CC"/>
    <w:pPr>
      <w:keepNext/>
      <w:outlineLvl w:val="2"/>
    </w:pPr>
    <w:rPr>
      <w:rFonts w:cs="Arial"/>
      <w:sz w:val="20"/>
      <w:u w:val="single"/>
    </w:rPr>
  </w:style>
  <w:style w:type="paragraph" w:styleId="Ttulo4">
    <w:name w:val="heading 4"/>
    <w:basedOn w:val="Normal"/>
    <w:next w:val="Normal"/>
    <w:qFormat/>
    <w:rsid w:val="002C02CC"/>
    <w:pPr>
      <w:keepNext/>
      <w:outlineLvl w:val="3"/>
    </w:pPr>
    <w:rPr>
      <w:rFonts w:cs="Arial"/>
      <w:b/>
      <w:bCs/>
    </w:rPr>
  </w:style>
  <w:style w:type="paragraph" w:styleId="Ttulo5">
    <w:name w:val="heading 5"/>
    <w:basedOn w:val="Normal"/>
    <w:next w:val="Normal"/>
    <w:qFormat/>
    <w:rsid w:val="002C02CC"/>
    <w:pPr>
      <w:keepNext/>
      <w:ind w:left="720" w:hanging="720"/>
      <w:outlineLvl w:val="4"/>
    </w:pPr>
    <w:rPr>
      <w:rFonts w:cs="Arial"/>
      <w:b/>
      <w:bCs/>
    </w:rPr>
  </w:style>
  <w:style w:type="paragraph" w:styleId="Ttulo6">
    <w:name w:val="heading 6"/>
    <w:basedOn w:val="Normal"/>
    <w:next w:val="Normal"/>
    <w:qFormat/>
    <w:rsid w:val="002C02CC"/>
    <w:pPr>
      <w:keepNext/>
      <w:ind w:left="3960"/>
      <w:jc w:val="center"/>
      <w:outlineLvl w:val="5"/>
    </w:pPr>
    <w:rPr>
      <w:rFonts w:cs="Arial"/>
      <w:b/>
      <w:bCs/>
    </w:rPr>
  </w:style>
  <w:style w:type="paragraph" w:styleId="Ttulo7">
    <w:name w:val="heading 7"/>
    <w:basedOn w:val="Normal"/>
    <w:next w:val="Normal"/>
    <w:qFormat/>
    <w:rsid w:val="002C02CC"/>
    <w:pPr>
      <w:keepNext/>
      <w:spacing w:before="240" w:after="0"/>
      <w:ind w:left="4797" w:hanging="839"/>
      <w:outlineLvl w:val="6"/>
    </w:pPr>
    <w:rPr>
      <w:rFonts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semiHidden/>
    <w:rsid w:val="002C02CC"/>
    <w:pPr>
      <w:ind w:left="5400"/>
    </w:pPr>
    <w:rPr>
      <w:rFonts w:cs="Arial"/>
      <w:b/>
      <w:bCs/>
    </w:rPr>
  </w:style>
  <w:style w:type="paragraph" w:styleId="Textoindependiente">
    <w:name w:val="Body Text"/>
    <w:basedOn w:val="Normal"/>
    <w:semiHidden/>
    <w:rsid w:val="002C02CC"/>
    <w:rPr>
      <w:rFonts w:cs="Arial"/>
    </w:rPr>
  </w:style>
  <w:style w:type="paragraph" w:styleId="Sangra2detindependiente">
    <w:name w:val="Body Text Indent 2"/>
    <w:basedOn w:val="Normal"/>
    <w:semiHidden/>
    <w:rsid w:val="002C02CC"/>
    <w:pPr>
      <w:ind w:left="360"/>
    </w:pPr>
    <w:rPr>
      <w:rFonts w:cs="Arial"/>
    </w:rPr>
  </w:style>
  <w:style w:type="paragraph" w:styleId="Sangra3detindependiente">
    <w:name w:val="Body Text Indent 3"/>
    <w:basedOn w:val="Normal"/>
    <w:semiHidden/>
    <w:rsid w:val="002C02CC"/>
    <w:pPr>
      <w:ind w:left="720" w:hanging="720"/>
    </w:pPr>
    <w:rPr>
      <w:rFonts w:cs="Arial"/>
    </w:rPr>
  </w:style>
  <w:style w:type="character" w:styleId="Nmerodepgina">
    <w:name w:val="page number"/>
    <w:basedOn w:val="Fuentedeprrafopredeter"/>
    <w:semiHidden/>
    <w:rsid w:val="002C02CC"/>
  </w:style>
  <w:style w:type="paragraph" w:styleId="Textonotapie">
    <w:name w:val="footnote text"/>
    <w:basedOn w:val="Normal"/>
    <w:link w:val="TextonotapieCar"/>
    <w:uiPriority w:val="99"/>
    <w:semiHidden/>
    <w:unhideWhenUsed/>
    <w:rsid w:val="000B6392"/>
    <w:rPr>
      <w:sz w:val="20"/>
      <w:szCs w:val="20"/>
    </w:rPr>
  </w:style>
  <w:style w:type="character" w:customStyle="1" w:styleId="TextonotapieCar">
    <w:name w:val="Texto nota pie Car"/>
    <w:basedOn w:val="Fuentedeprrafopredeter"/>
    <w:link w:val="Textonotapie"/>
    <w:uiPriority w:val="99"/>
    <w:semiHidden/>
    <w:rsid w:val="000B6392"/>
    <w:rPr>
      <w:rFonts w:ascii="Arial" w:hAnsi="Arial"/>
      <w:lang w:val="es-ES" w:eastAsia="es-ES"/>
    </w:rPr>
  </w:style>
  <w:style w:type="character" w:styleId="Refdenotaalpie">
    <w:name w:val="footnote reference"/>
    <w:basedOn w:val="Fuentedeprrafopredeter"/>
    <w:uiPriority w:val="99"/>
    <w:semiHidden/>
    <w:unhideWhenUsed/>
    <w:rsid w:val="000B6392"/>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gloria.flores\Mis%20documentos\1.%20GLORIA\1.%20DOCUMENTOS%20NORMATIVA\formatos\2.-%20Proyecto%20de%20Ofici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13E3FE-F934-49F3-B7C1-162E3EEE0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 Proyecto de Oficio.dot</Template>
  <TotalTime>8</TotalTime>
  <Pages>2</Pages>
  <Words>905</Words>
  <Characters>4981</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SERVICIO DE IMPUESTOS INTERNOS</vt:lpstr>
    </vt:vector>
  </TitlesOfParts>
  <Company>Servicio de Impuestos Internos</Company>
  <LinksUpToDate>false</LinksUpToDate>
  <CharactersWithSpaces>5875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IMPUESTOS INTERNOS</dc:title>
  <dc:subject/>
  <dc:creator>Gloria Flores Duran</dc:creator>
  <cp:keywords/>
  <dc:description/>
  <cp:lastModifiedBy>SoporteSII</cp:lastModifiedBy>
  <cp:revision>6</cp:revision>
  <cp:lastPrinted>2006-06-21T13:46:00Z</cp:lastPrinted>
  <dcterms:created xsi:type="dcterms:W3CDTF">2012-10-19T19:03:00Z</dcterms:created>
  <dcterms:modified xsi:type="dcterms:W3CDTF">2012-10-23T21:57:00Z</dcterms:modified>
</cp:coreProperties>
</file>