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7922" w:rsidRDefault="00E37922" w:rsidP="00E37922">
      <w:pPr>
        <w:contextualSpacing/>
        <w:rPr>
          <w:b/>
          <w:sz w:val="22"/>
          <w:szCs w:val="22"/>
        </w:rPr>
      </w:pPr>
      <w:r w:rsidRPr="00E37922">
        <w:rPr>
          <w:b/>
          <w:sz w:val="22"/>
          <w:szCs w:val="22"/>
        </w:rPr>
        <w:t>Renta – Actual Ley sobre Impuesto a la – Art. 17°, N°8 – Oficios N°’s 2386, de 2007, 1818, de 2009 y 492, de 2011. (Ord. N° 2895, de 26.10.2012)</w:t>
      </w:r>
    </w:p>
    <w:p w:rsidR="008D4391" w:rsidRPr="008D4391" w:rsidRDefault="008D4391" w:rsidP="008D4391">
      <w:pPr>
        <w:contextualSpacing/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ab/>
      </w:r>
      <w:r>
        <w:rPr>
          <w:b/>
          <w:sz w:val="22"/>
          <w:szCs w:val="22"/>
          <w:u w:val="single"/>
        </w:rPr>
        <w:tab/>
      </w:r>
      <w:r>
        <w:rPr>
          <w:b/>
          <w:sz w:val="22"/>
          <w:szCs w:val="22"/>
          <w:u w:val="single"/>
        </w:rPr>
        <w:tab/>
      </w:r>
      <w:r>
        <w:rPr>
          <w:b/>
          <w:sz w:val="22"/>
          <w:szCs w:val="22"/>
          <w:u w:val="single"/>
        </w:rPr>
        <w:tab/>
      </w:r>
      <w:r>
        <w:rPr>
          <w:b/>
          <w:sz w:val="22"/>
          <w:szCs w:val="22"/>
          <w:u w:val="single"/>
        </w:rPr>
        <w:tab/>
      </w:r>
      <w:r>
        <w:rPr>
          <w:b/>
          <w:sz w:val="22"/>
          <w:szCs w:val="22"/>
          <w:u w:val="single"/>
        </w:rPr>
        <w:tab/>
      </w:r>
      <w:r>
        <w:rPr>
          <w:b/>
          <w:sz w:val="22"/>
          <w:szCs w:val="22"/>
          <w:u w:val="single"/>
        </w:rPr>
        <w:tab/>
      </w:r>
      <w:r>
        <w:rPr>
          <w:b/>
          <w:sz w:val="22"/>
          <w:szCs w:val="22"/>
          <w:u w:val="single"/>
        </w:rPr>
        <w:tab/>
      </w:r>
      <w:r>
        <w:rPr>
          <w:b/>
          <w:sz w:val="22"/>
          <w:szCs w:val="22"/>
          <w:u w:val="single"/>
        </w:rPr>
        <w:tab/>
      </w:r>
      <w:r>
        <w:rPr>
          <w:b/>
          <w:sz w:val="22"/>
          <w:szCs w:val="22"/>
          <w:u w:val="single"/>
        </w:rPr>
        <w:tab/>
      </w:r>
      <w:r>
        <w:rPr>
          <w:b/>
          <w:sz w:val="22"/>
          <w:szCs w:val="22"/>
          <w:u w:val="single"/>
        </w:rPr>
        <w:tab/>
      </w:r>
      <w:r>
        <w:rPr>
          <w:b/>
          <w:sz w:val="22"/>
          <w:szCs w:val="22"/>
          <w:u w:val="single"/>
        </w:rPr>
        <w:tab/>
      </w:r>
    </w:p>
    <w:p w:rsidR="00731226" w:rsidRPr="00BE6E19" w:rsidRDefault="00263B47" w:rsidP="00C34A34">
      <w:pPr>
        <w:pStyle w:val="Sangra3detindependiente"/>
        <w:ind w:left="0" w:firstLine="0"/>
        <w:jc w:val="both"/>
        <w:rPr>
          <w:rFonts w:ascii="Times New Roman" w:hAnsi="Times New Roman" w:cs="Times New Roman"/>
          <w:szCs w:val="22"/>
        </w:rPr>
      </w:pPr>
      <w:r w:rsidRPr="00E37922">
        <w:rPr>
          <w:rFonts w:ascii="Times New Roman" w:hAnsi="Times New Roman" w:cs="Times New Roman"/>
          <w:b/>
          <w:szCs w:val="22"/>
        </w:rPr>
        <w:t>Normas de relación</w:t>
      </w:r>
      <w:r w:rsidR="007E4A5D" w:rsidRPr="00E37922">
        <w:rPr>
          <w:rFonts w:ascii="Times New Roman" w:hAnsi="Times New Roman" w:cs="Times New Roman"/>
          <w:b/>
          <w:szCs w:val="22"/>
        </w:rPr>
        <w:t xml:space="preserve"> establecidas en la Ley sobre Impuesto a la Renta,</w:t>
      </w:r>
      <w:r w:rsidRPr="00E37922">
        <w:rPr>
          <w:rFonts w:ascii="Times New Roman" w:hAnsi="Times New Roman" w:cs="Times New Roman"/>
          <w:b/>
          <w:szCs w:val="22"/>
        </w:rPr>
        <w:t xml:space="preserve"> en caso de enajenación de acciones</w:t>
      </w:r>
      <w:r w:rsidR="00C34A34">
        <w:rPr>
          <w:rFonts w:ascii="Times New Roman" w:hAnsi="Times New Roman" w:cs="Times New Roman"/>
          <w:b/>
          <w:szCs w:val="22"/>
        </w:rPr>
        <w:t>.</w:t>
      </w:r>
    </w:p>
    <w:p w:rsidR="00730D8D" w:rsidRPr="00BE6E19" w:rsidRDefault="00730D8D">
      <w:pPr>
        <w:pStyle w:val="Ttulo5"/>
        <w:rPr>
          <w:rFonts w:ascii="Times New Roman" w:hAnsi="Times New Roman" w:cs="Times New Roman"/>
          <w:szCs w:val="22"/>
        </w:rPr>
      </w:pPr>
    </w:p>
    <w:p w:rsidR="00731226" w:rsidRPr="00BE6E19" w:rsidRDefault="00731226">
      <w:pPr>
        <w:ind w:left="4500" w:hanging="4500"/>
        <w:rPr>
          <w:b/>
          <w:bCs/>
          <w:sz w:val="22"/>
          <w:szCs w:val="22"/>
        </w:rPr>
      </w:pPr>
    </w:p>
    <w:p w:rsidR="00AF6958" w:rsidRPr="00BE6E19" w:rsidRDefault="00AF6958">
      <w:pPr>
        <w:autoSpaceDE w:val="0"/>
        <w:autoSpaceDN w:val="0"/>
        <w:adjustRightInd w:val="0"/>
        <w:ind w:left="539" w:hanging="539"/>
        <w:jc w:val="both"/>
        <w:rPr>
          <w:b/>
          <w:sz w:val="22"/>
          <w:szCs w:val="22"/>
        </w:rPr>
      </w:pPr>
      <w:r w:rsidRPr="00BE6E19">
        <w:rPr>
          <w:b/>
          <w:sz w:val="22"/>
          <w:szCs w:val="22"/>
        </w:rPr>
        <w:t>I</w:t>
      </w:r>
      <w:r w:rsidR="00731226" w:rsidRPr="00BE6E19">
        <w:rPr>
          <w:b/>
          <w:sz w:val="22"/>
          <w:szCs w:val="22"/>
        </w:rPr>
        <w:t>.-</w:t>
      </w:r>
      <w:r w:rsidR="00AC22C6" w:rsidRPr="00BE6E19">
        <w:rPr>
          <w:b/>
          <w:sz w:val="22"/>
          <w:szCs w:val="22"/>
        </w:rPr>
        <w:t xml:space="preserve"> </w:t>
      </w:r>
      <w:r w:rsidRPr="00BE6E19">
        <w:rPr>
          <w:b/>
          <w:sz w:val="22"/>
          <w:szCs w:val="22"/>
        </w:rPr>
        <w:t>ANTECEDENTES.</w:t>
      </w:r>
    </w:p>
    <w:p w:rsidR="00AF6958" w:rsidRPr="00BE6E19" w:rsidRDefault="00AF6958">
      <w:pPr>
        <w:autoSpaceDE w:val="0"/>
        <w:autoSpaceDN w:val="0"/>
        <w:adjustRightInd w:val="0"/>
        <w:ind w:left="539" w:hanging="539"/>
        <w:jc w:val="both"/>
        <w:rPr>
          <w:sz w:val="22"/>
          <w:szCs w:val="22"/>
        </w:rPr>
      </w:pPr>
    </w:p>
    <w:p w:rsidR="001759CE" w:rsidRPr="00BE6E19" w:rsidRDefault="00A4737D" w:rsidP="00AC22C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E6E19">
        <w:rPr>
          <w:sz w:val="22"/>
          <w:szCs w:val="22"/>
        </w:rPr>
        <w:t>Indica que una sociedad de responsabilidad limitada es propie</w:t>
      </w:r>
      <w:r w:rsidR="00797A35" w:rsidRPr="00BE6E19">
        <w:rPr>
          <w:sz w:val="22"/>
          <w:szCs w:val="22"/>
        </w:rPr>
        <w:t>t</w:t>
      </w:r>
      <w:r w:rsidRPr="00BE6E19">
        <w:rPr>
          <w:sz w:val="22"/>
          <w:szCs w:val="22"/>
        </w:rPr>
        <w:t xml:space="preserve">aria de acciones de una sociedad anónima, parte de las cuales fueron vendidas en febrero de 2012, a tres de los socios de la </w:t>
      </w:r>
      <w:r w:rsidR="007C324D" w:rsidRPr="00BE6E19">
        <w:rPr>
          <w:sz w:val="22"/>
          <w:szCs w:val="22"/>
        </w:rPr>
        <w:t>sociedad vendedora</w:t>
      </w:r>
      <w:r w:rsidRPr="00BE6E19">
        <w:rPr>
          <w:sz w:val="22"/>
          <w:szCs w:val="22"/>
        </w:rPr>
        <w:t>.</w:t>
      </w:r>
    </w:p>
    <w:p w:rsidR="001759CE" w:rsidRPr="00BE6E19" w:rsidRDefault="001759CE" w:rsidP="00AC22C6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197AE0" w:rsidRPr="00BE6E19" w:rsidRDefault="001759CE" w:rsidP="00AC22C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E6E19">
        <w:rPr>
          <w:sz w:val="22"/>
          <w:szCs w:val="22"/>
        </w:rPr>
        <w:t>Por las razones que señala</w:t>
      </w:r>
      <w:r w:rsidR="00FF18C6" w:rsidRPr="00BE6E19">
        <w:rPr>
          <w:sz w:val="22"/>
          <w:szCs w:val="22"/>
        </w:rPr>
        <w:t xml:space="preserve"> en su presentación</w:t>
      </w:r>
      <w:r w:rsidR="006C6626" w:rsidRPr="00BE6E19">
        <w:rPr>
          <w:sz w:val="22"/>
          <w:szCs w:val="22"/>
        </w:rPr>
        <w:t>,</w:t>
      </w:r>
      <w:r w:rsidRPr="00BE6E19">
        <w:rPr>
          <w:sz w:val="22"/>
          <w:szCs w:val="22"/>
        </w:rPr>
        <w:t xml:space="preserve"> a su juicio</w:t>
      </w:r>
      <w:r w:rsidR="00FF18C6" w:rsidRPr="00BE6E19">
        <w:rPr>
          <w:sz w:val="22"/>
          <w:szCs w:val="22"/>
        </w:rPr>
        <w:t>,</w:t>
      </w:r>
      <w:r w:rsidRPr="00BE6E19">
        <w:rPr>
          <w:sz w:val="22"/>
          <w:szCs w:val="22"/>
        </w:rPr>
        <w:t xml:space="preserve"> en este caso no se aplicarían las normas de relación que establece el N° 8, del artículo 17, de la LIR, ya que ella requ</w:t>
      </w:r>
      <w:r w:rsidR="00797A35" w:rsidRPr="00BE6E19">
        <w:rPr>
          <w:sz w:val="22"/>
          <w:szCs w:val="22"/>
        </w:rPr>
        <w:t>i</w:t>
      </w:r>
      <w:r w:rsidRPr="00BE6E19">
        <w:rPr>
          <w:sz w:val="22"/>
          <w:szCs w:val="22"/>
        </w:rPr>
        <w:t>ere que quien enajena s</w:t>
      </w:r>
      <w:r w:rsidR="00197AE0" w:rsidRPr="00BE6E19">
        <w:rPr>
          <w:sz w:val="22"/>
          <w:szCs w:val="22"/>
        </w:rPr>
        <w:t>ea</w:t>
      </w:r>
      <w:r w:rsidRPr="00BE6E19">
        <w:rPr>
          <w:sz w:val="22"/>
          <w:szCs w:val="22"/>
        </w:rPr>
        <w:t xml:space="preserve"> socio o accionista </w:t>
      </w:r>
      <w:r w:rsidR="00197AE0" w:rsidRPr="00BE6E19">
        <w:rPr>
          <w:sz w:val="22"/>
          <w:szCs w:val="22"/>
        </w:rPr>
        <w:t>de la parte adquirente</w:t>
      </w:r>
      <w:r w:rsidRPr="00BE6E19">
        <w:rPr>
          <w:sz w:val="22"/>
          <w:szCs w:val="22"/>
        </w:rPr>
        <w:t xml:space="preserve"> o que tenga un interés económico o patrimonial  en ella</w:t>
      </w:r>
      <w:r w:rsidR="000B354F" w:rsidRPr="00BE6E19">
        <w:rPr>
          <w:sz w:val="22"/>
          <w:szCs w:val="22"/>
        </w:rPr>
        <w:t>;</w:t>
      </w:r>
      <w:r w:rsidRPr="00BE6E19">
        <w:rPr>
          <w:sz w:val="22"/>
          <w:szCs w:val="22"/>
        </w:rPr>
        <w:t xml:space="preserve"> lo que </w:t>
      </w:r>
      <w:r w:rsidR="00197AE0" w:rsidRPr="00BE6E19">
        <w:rPr>
          <w:sz w:val="22"/>
          <w:szCs w:val="22"/>
        </w:rPr>
        <w:t xml:space="preserve">no </w:t>
      </w:r>
      <w:r w:rsidR="00FB4A0D" w:rsidRPr="00BE6E19">
        <w:rPr>
          <w:sz w:val="22"/>
          <w:szCs w:val="22"/>
        </w:rPr>
        <w:t>se verifica</w:t>
      </w:r>
      <w:r w:rsidR="00197AE0" w:rsidRPr="00BE6E19">
        <w:rPr>
          <w:sz w:val="22"/>
          <w:szCs w:val="22"/>
        </w:rPr>
        <w:t xml:space="preserve">ría en la situación que plantea, </w:t>
      </w:r>
      <w:r w:rsidR="000D0D28" w:rsidRPr="00BE6E19">
        <w:rPr>
          <w:sz w:val="22"/>
          <w:szCs w:val="22"/>
        </w:rPr>
        <w:t>en</w:t>
      </w:r>
      <w:r w:rsidR="00197AE0" w:rsidRPr="00BE6E19">
        <w:rPr>
          <w:sz w:val="22"/>
          <w:szCs w:val="22"/>
        </w:rPr>
        <w:t xml:space="preserve"> que l</w:t>
      </w:r>
      <w:r w:rsidR="000B354F" w:rsidRPr="00BE6E19">
        <w:rPr>
          <w:sz w:val="22"/>
          <w:szCs w:val="22"/>
        </w:rPr>
        <w:t>os</w:t>
      </w:r>
      <w:r w:rsidR="00197AE0" w:rsidRPr="00BE6E19">
        <w:rPr>
          <w:sz w:val="22"/>
          <w:szCs w:val="22"/>
        </w:rPr>
        <w:t xml:space="preserve"> adquirente</w:t>
      </w:r>
      <w:r w:rsidR="000B354F" w:rsidRPr="00BE6E19">
        <w:rPr>
          <w:sz w:val="22"/>
          <w:szCs w:val="22"/>
        </w:rPr>
        <w:t>s</w:t>
      </w:r>
      <w:r w:rsidR="00197AE0" w:rsidRPr="00BE6E19">
        <w:rPr>
          <w:sz w:val="22"/>
          <w:szCs w:val="22"/>
        </w:rPr>
        <w:t xml:space="preserve"> s</w:t>
      </w:r>
      <w:r w:rsidR="003175CB" w:rsidRPr="00BE6E19">
        <w:rPr>
          <w:sz w:val="22"/>
          <w:szCs w:val="22"/>
        </w:rPr>
        <w:t>erían</w:t>
      </w:r>
      <w:r w:rsidR="00197AE0" w:rsidRPr="00BE6E19">
        <w:rPr>
          <w:sz w:val="22"/>
          <w:szCs w:val="22"/>
        </w:rPr>
        <w:t xml:space="preserve"> </w:t>
      </w:r>
      <w:r w:rsidR="000B354F" w:rsidRPr="00BE6E19">
        <w:rPr>
          <w:sz w:val="22"/>
          <w:szCs w:val="22"/>
        </w:rPr>
        <w:t>los</w:t>
      </w:r>
      <w:r w:rsidR="00197AE0" w:rsidRPr="00BE6E19">
        <w:rPr>
          <w:sz w:val="22"/>
          <w:szCs w:val="22"/>
        </w:rPr>
        <w:t xml:space="preserve"> socio</w:t>
      </w:r>
      <w:r w:rsidR="000B354F" w:rsidRPr="00BE6E19">
        <w:rPr>
          <w:sz w:val="22"/>
          <w:szCs w:val="22"/>
        </w:rPr>
        <w:t>s</w:t>
      </w:r>
      <w:r w:rsidR="00197AE0" w:rsidRPr="00BE6E19">
        <w:rPr>
          <w:sz w:val="22"/>
          <w:szCs w:val="22"/>
        </w:rPr>
        <w:t xml:space="preserve"> del enajenante.</w:t>
      </w:r>
    </w:p>
    <w:p w:rsidR="00A71ED7" w:rsidRPr="00BE6E19" w:rsidRDefault="00A71ED7" w:rsidP="00AC22C6">
      <w:pPr>
        <w:tabs>
          <w:tab w:val="left" w:pos="0"/>
        </w:tabs>
        <w:jc w:val="both"/>
        <w:rPr>
          <w:sz w:val="22"/>
          <w:szCs w:val="22"/>
        </w:rPr>
      </w:pPr>
    </w:p>
    <w:p w:rsidR="00AF6958" w:rsidRPr="00BE6E19" w:rsidRDefault="00AF6958" w:rsidP="0093777A">
      <w:pPr>
        <w:tabs>
          <w:tab w:val="left" w:pos="0"/>
        </w:tabs>
        <w:jc w:val="both"/>
        <w:rPr>
          <w:b/>
          <w:sz w:val="22"/>
          <w:szCs w:val="22"/>
        </w:rPr>
      </w:pPr>
      <w:r w:rsidRPr="00BE6E19">
        <w:rPr>
          <w:b/>
          <w:sz w:val="22"/>
          <w:szCs w:val="22"/>
        </w:rPr>
        <w:t>II</w:t>
      </w:r>
      <w:r w:rsidR="00731226" w:rsidRPr="00BE6E19">
        <w:rPr>
          <w:b/>
          <w:sz w:val="22"/>
          <w:szCs w:val="22"/>
        </w:rPr>
        <w:t>.-</w:t>
      </w:r>
      <w:r w:rsidR="00AC22C6" w:rsidRPr="00BE6E19">
        <w:rPr>
          <w:b/>
          <w:sz w:val="22"/>
          <w:szCs w:val="22"/>
        </w:rPr>
        <w:t xml:space="preserve"> </w:t>
      </w:r>
      <w:r w:rsidRPr="00BE6E19">
        <w:rPr>
          <w:b/>
          <w:sz w:val="22"/>
          <w:szCs w:val="22"/>
        </w:rPr>
        <w:t>ANÁLISIS.</w:t>
      </w:r>
    </w:p>
    <w:p w:rsidR="006C6626" w:rsidRPr="00BE6E19" w:rsidRDefault="006C6626" w:rsidP="0093777A">
      <w:pPr>
        <w:tabs>
          <w:tab w:val="left" w:pos="0"/>
        </w:tabs>
        <w:jc w:val="both"/>
        <w:rPr>
          <w:b/>
          <w:sz w:val="22"/>
          <w:szCs w:val="22"/>
        </w:rPr>
      </w:pPr>
    </w:p>
    <w:p w:rsidR="00A94FA9" w:rsidRPr="00BE6E19" w:rsidRDefault="00A94FA9" w:rsidP="0093777A">
      <w:pPr>
        <w:jc w:val="both"/>
        <w:rPr>
          <w:sz w:val="22"/>
          <w:szCs w:val="22"/>
          <w:lang w:val="es-CL" w:eastAsia="es-CL"/>
        </w:rPr>
      </w:pPr>
      <w:r w:rsidRPr="00BE6E19">
        <w:rPr>
          <w:sz w:val="22"/>
          <w:szCs w:val="22"/>
          <w:lang w:val="es-CL" w:eastAsia="es-CL"/>
        </w:rPr>
        <w:t>El Servicio, a través de la jurisprudencia</w:t>
      </w:r>
      <w:r w:rsidRPr="00BE6E19">
        <w:rPr>
          <w:rStyle w:val="Refdenotaalpie"/>
          <w:sz w:val="22"/>
          <w:szCs w:val="22"/>
          <w:lang w:val="es-CL" w:eastAsia="es-CL"/>
        </w:rPr>
        <w:footnoteReference w:id="1"/>
      </w:r>
      <w:r w:rsidRPr="00BE6E19">
        <w:rPr>
          <w:sz w:val="22"/>
          <w:szCs w:val="22"/>
          <w:lang w:val="es-CL" w:eastAsia="es-CL"/>
        </w:rPr>
        <w:t xml:space="preserve"> que indica en su presentación, se ha pronunciado respecto de la materia en consulta.</w:t>
      </w:r>
    </w:p>
    <w:p w:rsidR="00A94FA9" w:rsidRPr="00BE6E19" w:rsidRDefault="00A94FA9" w:rsidP="0093777A">
      <w:pPr>
        <w:jc w:val="both"/>
        <w:rPr>
          <w:sz w:val="22"/>
          <w:szCs w:val="22"/>
          <w:lang w:val="es-CL" w:eastAsia="es-CL"/>
        </w:rPr>
      </w:pPr>
    </w:p>
    <w:p w:rsidR="00A94FA9" w:rsidRPr="00BE6E19" w:rsidRDefault="00A94FA9" w:rsidP="00A94FA9">
      <w:pPr>
        <w:jc w:val="both"/>
        <w:rPr>
          <w:sz w:val="22"/>
          <w:szCs w:val="22"/>
          <w:lang w:val="es-CL" w:eastAsia="es-CL"/>
        </w:rPr>
      </w:pPr>
      <w:r w:rsidRPr="00BE6E19">
        <w:rPr>
          <w:sz w:val="22"/>
          <w:szCs w:val="22"/>
          <w:lang w:val="es-CL" w:eastAsia="es-CL"/>
        </w:rPr>
        <w:t xml:space="preserve">Dicha jurisprudencia se encuentra vigente en la actualidad. </w:t>
      </w:r>
    </w:p>
    <w:p w:rsidR="006C6626" w:rsidRPr="00BE6E19" w:rsidRDefault="006C6626" w:rsidP="0093777A">
      <w:pPr>
        <w:jc w:val="both"/>
        <w:rPr>
          <w:sz w:val="22"/>
          <w:szCs w:val="22"/>
          <w:lang w:val="es-CL" w:eastAsia="es-CL"/>
        </w:rPr>
      </w:pPr>
    </w:p>
    <w:p w:rsidR="006C6626" w:rsidRPr="00BE6E19" w:rsidRDefault="006C6626" w:rsidP="0093777A">
      <w:pPr>
        <w:jc w:val="both"/>
        <w:rPr>
          <w:sz w:val="22"/>
          <w:szCs w:val="22"/>
          <w:lang w:val="es-CL" w:eastAsia="es-CL"/>
        </w:rPr>
      </w:pPr>
    </w:p>
    <w:p w:rsidR="00AF6958" w:rsidRPr="00BE6E19" w:rsidRDefault="002E601E" w:rsidP="007E4A5D">
      <w:pPr>
        <w:jc w:val="both"/>
        <w:rPr>
          <w:b/>
          <w:sz w:val="22"/>
          <w:szCs w:val="22"/>
        </w:rPr>
      </w:pPr>
      <w:r w:rsidRPr="00BE6E19">
        <w:rPr>
          <w:b/>
          <w:sz w:val="22"/>
          <w:szCs w:val="22"/>
        </w:rPr>
        <w:t>I</w:t>
      </w:r>
      <w:r w:rsidR="00AF6958" w:rsidRPr="00BE6E19">
        <w:rPr>
          <w:b/>
          <w:sz w:val="22"/>
          <w:szCs w:val="22"/>
        </w:rPr>
        <w:t>II</w:t>
      </w:r>
      <w:r w:rsidR="00731226" w:rsidRPr="00BE6E19">
        <w:rPr>
          <w:b/>
          <w:sz w:val="22"/>
          <w:szCs w:val="22"/>
        </w:rPr>
        <w:t>.-</w:t>
      </w:r>
      <w:r w:rsidR="00AC22C6" w:rsidRPr="00BE6E19">
        <w:rPr>
          <w:b/>
          <w:sz w:val="22"/>
          <w:szCs w:val="22"/>
        </w:rPr>
        <w:t xml:space="preserve"> </w:t>
      </w:r>
      <w:r w:rsidR="00AF6958" w:rsidRPr="00BE6E19">
        <w:rPr>
          <w:b/>
          <w:sz w:val="22"/>
          <w:szCs w:val="22"/>
        </w:rPr>
        <w:t>CONCLUSI</w:t>
      </w:r>
      <w:r w:rsidR="000E3D91" w:rsidRPr="00BE6E19">
        <w:rPr>
          <w:b/>
          <w:sz w:val="22"/>
          <w:szCs w:val="22"/>
        </w:rPr>
        <w:t>ÓN</w:t>
      </w:r>
      <w:r w:rsidR="00AF6958" w:rsidRPr="00BE6E19">
        <w:rPr>
          <w:b/>
          <w:sz w:val="22"/>
          <w:szCs w:val="22"/>
        </w:rPr>
        <w:t>.</w:t>
      </w:r>
    </w:p>
    <w:p w:rsidR="007E4A5D" w:rsidRPr="00BE6E19" w:rsidRDefault="007E4A5D" w:rsidP="007E4A5D">
      <w:pPr>
        <w:jc w:val="both"/>
        <w:rPr>
          <w:sz w:val="22"/>
          <w:szCs w:val="22"/>
        </w:rPr>
      </w:pPr>
    </w:p>
    <w:p w:rsidR="007E4A5D" w:rsidRPr="00BE6E19" w:rsidRDefault="00F32AB6" w:rsidP="007E4A5D">
      <w:pPr>
        <w:jc w:val="both"/>
        <w:rPr>
          <w:sz w:val="22"/>
          <w:szCs w:val="22"/>
        </w:rPr>
      </w:pPr>
      <w:r w:rsidRPr="00BE6E19">
        <w:rPr>
          <w:sz w:val="22"/>
          <w:szCs w:val="22"/>
        </w:rPr>
        <w:t>De acuerdo</w:t>
      </w:r>
      <w:r w:rsidR="002E601E" w:rsidRPr="00BE6E19">
        <w:rPr>
          <w:sz w:val="22"/>
          <w:szCs w:val="22"/>
        </w:rPr>
        <w:t xml:space="preserve"> a lo señalado por este Servicio </w:t>
      </w:r>
      <w:r w:rsidRPr="00BE6E19">
        <w:rPr>
          <w:sz w:val="22"/>
          <w:szCs w:val="22"/>
        </w:rPr>
        <w:t xml:space="preserve">sobre la materia </w:t>
      </w:r>
      <w:r w:rsidR="002E601E" w:rsidRPr="00BE6E19">
        <w:rPr>
          <w:sz w:val="22"/>
          <w:szCs w:val="22"/>
        </w:rPr>
        <w:t xml:space="preserve">en </w:t>
      </w:r>
      <w:r w:rsidR="00913414" w:rsidRPr="00BE6E19">
        <w:rPr>
          <w:sz w:val="22"/>
          <w:szCs w:val="22"/>
        </w:rPr>
        <w:t xml:space="preserve">los </w:t>
      </w:r>
      <w:r w:rsidR="002E601E" w:rsidRPr="00BE6E19">
        <w:rPr>
          <w:sz w:val="22"/>
          <w:szCs w:val="22"/>
        </w:rPr>
        <w:t>pronunciamientos</w:t>
      </w:r>
      <w:r w:rsidR="00DE1EFD" w:rsidRPr="00BE6E19">
        <w:rPr>
          <w:sz w:val="22"/>
          <w:szCs w:val="22"/>
        </w:rPr>
        <w:t xml:space="preserve"> que se indica</w:t>
      </w:r>
      <w:r w:rsidR="00174F17" w:rsidRPr="00BE6E19">
        <w:rPr>
          <w:sz w:val="22"/>
          <w:szCs w:val="22"/>
        </w:rPr>
        <w:t>n</w:t>
      </w:r>
      <w:r w:rsidR="002E601E" w:rsidRPr="00BE6E19">
        <w:rPr>
          <w:sz w:val="22"/>
          <w:szCs w:val="22"/>
        </w:rPr>
        <w:t xml:space="preserve">, no cabe sino confirmar el criterio que </w:t>
      </w:r>
      <w:r w:rsidR="00DE1EFD" w:rsidRPr="00BE6E19">
        <w:rPr>
          <w:sz w:val="22"/>
          <w:szCs w:val="22"/>
        </w:rPr>
        <w:t>expresa</w:t>
      </w:r>
      <w:r w:rsidR="002E601E" w:rsidRPr="00BE6E19">
        <w:rPr>
          <w:sz w:val="22"/>
          <w:szCs w:val="22"/>
        </w:rPr>
        <w:t xml:space="preserve"> en su requerimiento</w:t>
      </w:r>
      <w:r w:rsidR="001A62BD" w:rsidRPr="00BE6E19">
        <w:rPr>
          <w:sz w:val="22"/>
          <w:szCs w:val="22"/>
        </w:rPr>
        <w:t xml:space="preserve">, </w:t>
      </w:r>
      <w:r w:rsidR="00714CD5" w:rsidRPr="00BE6E19">
        <w:rPr>
          <w:sz w:val="22"/>
          <w:szCs w:val="22"/>
        </w:rPr>
        <w:t>en el sentido que</w:t>
      </w:r>
      <w:r w:rsidR="001A62BD" w:rsidRPr="00BE6E19">
        <w:rPr>
          <w:sz w:val="22"/>
          <w:szCs w:val="22"/>
        </w:rPr>
        <w:t xml:space="preserve"> </w:t>
      </w:r>
      <w:r w:rsidR="00F40FCA" w:rsidRPr="00BE6E19">
        <w:rPr>
          <w:sz w:val="22"/>
          <w:szCs w:val="22"/>
        </w:rPr>
        <w:t xml:space="preserve">no </w:t>
      </w:r>
      <w:r w:rsidR="001A62BD" w:rsidRPr="00BE6E19">
        <w:rPr>
          <w:sz w:val="22"/>
          <w:szCs w:val="22"/>
        </w:rPr>
        <w:t>se presentan las normas de relación citadas</w:t>
      </w:r>
      <w:r w:rsidR="00BF5769" w:rsidRPr="00BE6E19">
        <w:rPr>
          <w:sz w:val="22"/>
          <w:szCs w:val="22"/>
        </w:rPr>
        <w:t xml:space="preserve">, </w:t>
      </w:r>
      <w:r w:rsidR="001A62BD" w:rsidRPr="00BE6E19">
        <w:rPr>
          <w:sz w:val="22"/>
          <w:szCs w:val="22"/>
        </w:rPr>
        <w:t xml:space="preserve">cuando </w:t>
      </w:r>
      <w:r w:rsidR="00F242BF" w:rsidRPr="00BE6E19">
        <w:rPr>
          <w:sz w:val="22"/>
          <w:szCs w:val="22"/>
        </w:rPr>
        <w:t xml:space="preserve">la enajenación de las acciones </w:t>
      </w:r>
      <w:r w:rsidR="002F75B5" w:rsidRPr="00BE6E19">
        <w:rPr>
          <w:sz w:val="22"/>
          <w:szCs w:val="22"/>
        </w:rPr>
        <w:t>sea e</w:t>
      </w:r>
      <w:r w:rsidR="00F242BF" w:rsidRPr="00BE6E19">
        <w:rPr>
          <w:sz w:val="22"/>
          <w:szCs w:val="22"/>
        </w:rPr>
        <w:t>fectuada por la sociedad a uno de sus socios, q</w:t>
      </w:r>
      <w:r w:rsidR="002F75B5" w:rsidRPr="00BE6E19">
        <w:rPr>
          <w:sz w:val="22"/>
          <w:szCs w:val="22"/>
        </w:rPr>
        <w:t>u</w:t>
      </w:r>
      <w:r w:rsidR="00F242BF" w:rsidRPr="00BE6E19">
        <w:rPr>
          <w:sz w:val="22"/>
          <w:szCs w:val="22"/>
        </w:rPr>
        <w:t>ien actúa como comprador, y po</w:t>
      </w:r>
      <w:r w:rsidR="002F75B5" w:rsidRPr="00BE6E19">
        <w:rPr>
          <w:sz w:val="22"/>
          <w:szCs w:val="22"/>
        </w:rPr>
        <w:t>r</w:t>
      </w:r>
      <w:r w:rsidR="00F242BF" w:rsidRPr="00BE6E19">
        <w:rPr>
          <w:sz w:val="22"/>
          <w:szCs w:val="22"/>
        </w:rPr>
        <w:t xml:space="preserve"> tanto, cuando el enajenante no sea socio ni accionista del adquirente, ni tenga un interés patrimonia</w:t>
      </w:r>
      <w:r w:rsidR="002F75B5" w:rsidRPr="00BE6E19">
        <w:rPr>
          <w:sz w:val="22"/>
          <w:szCs w:val="22"/>
        </w:rPr>
        <w:t>l</w:t>
      </w:r>
      <w:r w:rsidR="00F242BF" w:rsidRPr="00BE6E19">
        <w:rPr>
          <w:sz w:val="22"/>
          <w:szCs w:val="22"/>
        </w:rPr>
        <w:t xml:space="preserve"> en este último.</w:t>
      </w:r>
    </w:p>
    <w:p w:rsidR="001A62BD" w:rsidRPr="00BE6E19" w:rsidRDefault="001A62BD" w:rsidP="007E4A5D">
      <w:pPr>
        <w:jc w:val="both"/>
        <w:rPr>
          <w:sz w:val="22"/>
          <w:szCs w:val="22"/>
        </w:rPr>
      </w:pPr>
    </w:p>
    <w:p w:rsidR="00EE1331" w:rsidRPr="00BE6E19" w:rsidRDefault="00913414" w:rsidP="00171EDF">
      <w:pPr>
        <w:jc w:val="both"/>
        <w:rPr>
          <w:sz w:val="22"/>
          <w:szCs w:val="22"/>
        </w:rPr>
      </w:pPr>
      <w:r w:rsidRPr="00BE6E19">
        <w:rPr>
          <w:sz w:val="22"/>
          <w:szCs w:val="22"/>
        </w:rPr>
        <w:t>Sin perjuicio de lo anteriormente señalado</w:t>
      </w:r>
      <w:r w:rsidR="002E601E" w:rsidRPr="00BE6E19">
        <w:rPr>
          <w:sz w:val="22"/>
          <w:szCs w:val="22"/>
        </w:rPr>
        <w:t xml:space="preserve">, </w:t>
      </w:r>
      <w:r w:rsidR="00EE1331" w:rsidRPr="00BE6E19">
        <w:rPr>
          <w:sz w:val="22"/>
          <w:szCs w:val="22"/>
        </w:rPr>
        <w:t xml:space="preserve">cabe expresar que </w:t>
      </w:r>
      <w:r w:rsidR="00501AAF" w:rsidRPr="00BE6E19">
        <w:rPr>
          <w:sz w:val="22"/>
          <w:szCs w:val="22"/>
        </w:rPr>
        <w:t>la verificación  de las circunstancias de hecho que indica en su presentación, y por tanto</w:t>
      </w:r>
      <w:r w:rsidR="00EE1331" w:rsidRPr="00BE6E19">
        <w:rPr>
          <w:sz w:val="22"/>
          <w:szCs w:val="22"/>
        </w:rPr>
        <w:t>,</w:t>
      </w:r>
      <w:r w:rsidR="00501AAF" w:rsidRPr="00BE6E19">
        <w:rPr>
          <w:sz w:val="22"/>
          <w:szCs w:val="22"/>
        </w:rPr>
        <w:t xml:space="preserve"> la aplicación del </w:t>
      </w:r>
      <w:r w:rsidR="00714CD5" w:rsidRPr="00BE6E19">
        <w:rPr>
          <w:sz w:val="22"/>
          <w:szCs w:val="22"/>
        </w:rPr>
        <w:t>indicado criterio</w:t>
      </w:r>
      <w:r w:rsidR="00BF5769" w:rsidRPr="00BE6E19">
        <w:rPr>
          <w:sz w:val="22"/>
          <w:szCs w:val="22"/>
        </w:rPr>
        <w:t xml:space="preserve"> </w:t>
      </w:r>
      <w:r w:rsidR="00A47A54" w:rsidRPr="00BE6E19">
        <w:rPr>
          <w:sz w:val="22"/>
          <w:szCs w:val="22"/>
        </w:rPr>
        <w:t xml:space="preserve">en </w:t>
      </w:r>
      <w:r w:rsidR="00BF5769" w:rsidRPr="00BE6E19">
        <w:rPr>
          <w:sz w:val="22"/>
          <w:szCs w:val="22"/>
        </w:rPr>
        <w:t xml:space="preserve">la situación específica </w:t>
      </w:r>
      <w:r w:rsidR="00EE1331" w:rsidRPr="00BE6E19">
        <w:rPr>
          <w:sz w:val="22"/>
          <w:szCs w:val="22"/>
        </w:rPr>
        <w:t>que</w:t>
      </w:r>
      <w:r w:rsidR="00BF5769" w:rsidRPr="00BE6E19">
        <w:rPr>
          <w:sz w:val="22"/>
          <w:szCs w:val="22"/>
        </w:rPr>
        <w:t xml:space="preserve"> consulta</w:t>
      </w:r>
      <w:r w:rsidR="00501AAF" w:rsidRPr="00BE6E19">
        <w:rPr>
          <w:sz w:val="22"/>
          <w:szCs w:val="22"/>
        </w:rPr>
        <w:t xml:space="preserve">, </w:t>
      </w:r>
      <w:r w:rsidR="00C7243A" w:rsidRPr="00BE6E19">
        <w:rPr>
          <w:sz w:val="22"/>
          <w:szCs w:val="22"/>
        </w:rPr>
        <w:t>así como la verificación de</w:t>
      </w:r>
      <w:r w:rsidR="00392D64" w:rsidRPr="00BE6E19">
        <w:rPr>
          <w:sz w:val="22"/>
          <w:szCs w:val="22"/>
        </w:rPr>
        <w:t xml:space="preserve"> </w:t>
      </w:r>
      <w:r w:rsidR="00C7243A" w:rsidRPr="00BE6E19">
        <w:rPr>
          <w:sz w:val="22"/>
          <w:szCs w:val="22"/>
        </w:rPr>
        <w:t>lo</w:t>
      </w:r>
      <w:r w:rsidR="00392D64" w:rsidRPr="00BE6E19">
        <w:rPr>
          <w:sz w:val="22"/>
          <w:szCs w:val="22"/>
        </w:rPr>
        <w:t>s dem</w:t>
      </w:r>
      <w:r w:rsidR="00714CD5" w:rsidRPr="00BE6E19">
        <w:rPr>
          <w:sz w:val="22"/>
          <w:szCs w:val="22"/>
        </w:rPr>
        <w:t>ás elementos que determinan</w:t>
      </w:r>
      <w:r w:rsidR="00EE1331" w:rsidRPr="00BE6E19">
        <w:rPr>
          <w:sz w:val="22"/>
          <w:szCs w:val="22"/>
        </w:rPr>
        <w:t xml:space="preserve"> </w:t>
      </w:r>
      <w:r w:rsidR="00392D64" w:rsidRPr="00BE6E19">
        <w:rPr>
          <w:sz w:val="22"/>
          <w:szCs w:val="22"/>
        </w:rPr>
        <w:t>la tributación aplicable al mayor valor obtenido en la enajenación</w:t>
      </w:r>
      <w:r w:rsidR="00714CD5" w:rsidRPr="00BE6E19">
        <w:rPr>
          <w:sz w:val="22"/>
          <w:szCs w:val="22"/>
        </w:rPr>
        <w:t xml:space="preserve"> de las acciones</w:t>
      </w:r>
      <w:r w:rsidR="00EE1331" w:rsidRPr="00BE6E19">
        <w:rPr>
          <w:sz w:val="22"/>
          <w:szCs w:val="22"/>
        </w:rPr>
        <w:t xml:space="preserve"> que señala</w:t>
      </w:r>
      <w:r w:rsidR="00171EDF" w:rsidRPr="00BE6E19">
        <w:rPr>
          <w:sz w:val="22"/>
          <w:szCs w:val="22"/>
        </w:rPr>
        <w:t>, es una materia que debe ser definida en</w:t>
      </w:r>
      <w:r w:rsidR="00EE1331" w:rsidRPr="00BE6E19">
        <w:rPr>
          <w:sz w:val="22"/>
          <w:szCs w:val="22"/>
        </w:rPr>
        <w:t xml:space="preserve"> la</w:t>
      </w:r>
      <w:r w:rsidR="003E2B07" w:rsidRPr="00BE6E19">
        <w:rPr>
          <w:sz w:val="22"/>
          <w:szCs w:val="22"/>
        </w:rPr>
        <w:t>s</w:t>
      </w:r>
      <w:r w:rsidR="00EE1331" w:rsidRPr="00BE6E19">
        <w:rPr>
          <w:sz w:val="22"/>
          <w:szCs w:val="22"/>
        </w:rPr>
        <w:t xml:space="preserve"> instancia</w:t>
      </w:r>
      <w:r w:rsidR="003E2B07" w:rsidRPr="00BE6E19">
        <w:rPr>
          <w:sz w:val="22"/>
          <w:szCs w:val="22"/>
        </w:rPr>
        <w:t>s</w:t>
      </w:r>
      <w:r w:rsidR="00EE1331" w:rsidRPr="00BE6E19">
        <w:rPr>
          <w:sz w:val="22"/>
          <w:szCs w:val="22"/>
        </w:rPr>
        <w:t xml:space="preserve"> de fiscalización </w:t>
      </w:r>
      <w:r w:rsidR="00171EDF" w:rsidRPr="00BE6E19">
        <w:rPr>
          <w:sz w:val="22"/>
          <w:szCs w:val="22"/>
        </w:rPr>
        <w:t>que corresponda.</w:t>
      </w:r>
      <w:r w:rsidR="00EE1331" w:rsidRPr="00BE6E19">
        <w:rPr>
          <w:sz w:val="22"/>
          <w:szCs w:val="22"/>
        </w:rPr>
        <w:t xml:space="preserve"> </w:t>
      </w:r>
    </w:p>
    <w:p w:rsidR="00EE1331" w:rsidRPr="00BE6E19" w:rsidRDefault="00EE1331" w:rsidP="007E4A5D">
      <w:pPr>
        <w:pStyle w:val="Sangra2detindependiente"/>
        <w:ind w:left="0" w:firstLine="0"/>
        <w:rPr>
          <w:rFonts w:ascii="Times New Roman" w:hAnsi="Times New Roman" w:cs="Times New Roman"/>
          <w:szCs w:val="22"/>
        </w:rPr>
      </w:pPr>
    </w:p>
    <w:p w:rsidR="00731226" w:rsidRPr="00BE6E19" w:rsidRDefault="00731226" w:rsidP="007E4A5D">
      <w:pPr>
        <w:pStyle w:val="Sangra2detindependiente"/>
        <w:ind w:left="0" w:firstLine="0"/>
        <w:rPr>
          <w:rFonts w:ascii="Times New Roman" w:hAnsi="Times New Roman" w:cs="Times New Roman"/>
          <w:szCs w:val="22"/>
        </w:rPr>
      </w:pPr>
    </w:p>
    <w:p w:rsidR="00731226" w:rsidRPr="00BE6E19" w:rsidRDefault="00731226" w:rsidP="007E4A5D">
      <w:pPr>
        <w:pStyle w:val="Sangra2detindependiente"/>
        <w:ind w:left="0" w:firstLine="0"/>
        <w:rPr>
          <w:rFonts w:ascii="Times New Roman" w:hAnsi="Times New Roman" w:cs="Times New Roman"/>
          <w:szCs w:val="22"/>
        </w:rPr>
      </w:pPr>
    </w:p>
    <w:p w:rsidR="00731226" w:rsidRPr="00BE6E19" w:rsidRDefault="00151373">
      <w:pPr>
        <w:pStyle w:val="Sangra2detindependiente"/>
        <w:ind w:left="3960" w:firstLine="0"/>
        <w:jc w:val="center"/>
        <w:rPr>
          <w:rFonts w:ascii="Times New Roman" w:hAnsi="Times New Roman" w:cs="Times New Roman"/>
          <w:b/>
          <w:bCs/>
          <w:szCs w:val="22"/>
        </w:rPr>
      </w:pPr>
      <w:r w:rsidRPr="00BE6E19">
        <w:rPr>
          <w:rFonts w:ascii="Times New Roman" w:hAnsi="Times New Roman" w:cs="Times New Roman"/>
          <w:b/>
          <w:bCs/>
          <w:szCs w:val="22"/>
        </w:rPr>
        <w:t>JULIO PEREIRA GANDARILLAS</w:t>
      </w:r>
    </w:p>
    <w:p w:rsidR="003D1957" w:rsidRDefault="00731226" w:rsidP="00113A7B">
      <w:pPr>
        <w:pStyle w:val="Sangra2detindependiente"/>
        <w:ind w:left="3960" w:firstLine="0"/>
        <w:jc w:val="center"/>
        <w:rPr>
          <w:rFonts w:ascii="Times New Roman" w:hAnsi="Times New Roman" w:cs="Times New Roman"/>
          <w:b/>
          <w:bCs/>
          <w:szCs w:val="22"/>
        </w:rPr>
      </w:pPr>
      <w:r w:rsidRPr="00BE6E19">
        <w:rPr>
          <w:rFonts w:ascii="Times New Roman" w:hAnsi="Times New Roman" w:cs="Times New Roman"/>
          <w:b/>
          <w:bCs/>
          <w:szCs w:val="22"/>
        </w:rPr>
        <w:t>DIRECTOR</w:t>
      </w:r>
    </w:p>
    <w:p w:rsidR="00782EC8" w:rsidRDefault="00782EC8" w:rsidP="00782EC8">
      <w:pPr>
        <w:pStyle w:val="Sangra2detindependiente"/>
        <w:ind w:left="0" w:firstLine="0"/>
        <w:jc w:val="center"/>
        <w:rPr>
          <w:rFonts w:ascii="Times New Roman" w:hAnsi="Times New Roman" w:cs="Times New Roman"/>
          <w:bCs/>
          <w:szCs w:val="22"/>
        </w:rPr>
      </w:pPr>
    </w:p>
    <w:p w:rsidR="00782EC8" w:rsidRDefault="00782EC8" w:rsidP="00782EC8">
      <w:pPr>
        <w:pStyle w:val="Sangra2detindependiente"/>
        <w:ind w:left="0" w:firstLine="0"/>
        <w:jc w:val="center"/>
        <w:rPr>
          <w:rFonts w:ascii="Times New Roman" w:hAnsi="Times New Roman" w:cs="Times New Roman"/>
          <w:bCs/>
          <w:szCs w:val="22"/>
        </w:rPr>
      </w:pPr>
    </w:p>
    <w:p w:rsidR="00C34A34" w:rsidRDefault="00C34A34" w:rsidP="00782EC8">
      <w:pPr>
        <w:pStyle w:val="Sangra2detindependiente"/>
        <w:ind w:left="0" w:firstLine="0"/>
        <w:jc w:val="center"/>
        <w:rPr>
          <w:rFonts w:ascii="Times New Roman" w:hAnsi="Times New Roman" w:cs="Times New Roman"/>
          <w:bCs/>
          <w:szCs w:val="22"/>
        </w:rPr>
      </w:pPr>
    </w:p>
    <w:p w:rsidR="00C34A34" w:rsidRDefault="00C34A34" w:rsidP="00782EC8">
      <w:pPr>
        <w:pStyle w:val="Sangra2detindependiente"/>
        <w:ind w:left="0" w:firstLine="0"/>
        <w:jc w:val="center"/>
        <w:rPr>
          <w:rFonts w:ascii="Times New Roman" w:hAnsi="Times New Roman" w:cs="Times New Roman"/>
          <w:bCs/>
          <w:szCs w:val="22"/>
        </w:rPr>
      </w:pPr>
    </w:p>
    <w:p w:rsidR="00782EC8" w:rsidRDefault="00782EC8" w:rsidP="00782EC8">
      <w:pPr>
        <w:pStyle w:val="Sangra2detindependiente"/>
        <w:ind w:left="0" w:firstLine="0"/>
        <w:jc w:val="center"/>
        <w:rPr>
          <w:rFonts w:ascii="Times New Roman" w:hAnsi="Times New Roman" w:cs="Times New Roman"/>
          <w:bCs/>
          <w:szCs w:val="22"/>
        </w:rPr>
      </w:pPr>
    </w:p>
    <w:p w:rsidR="00782EC8" w:rsidRDefault="00782EC8" w:rsidP="00782EC8">
      <w:pPr>
        <w:pStyle w:val="Sangra2detindependiente"/>
        <w:ind w:left="0" w:firstLine="0"/>
        <w:jc w:val="center"/>
        <w:rPr>
          <w:rFonts w:ascii="Times New Roman" w:hAnsi="Times New Roman" w:cs="Times New Roman"/>
          <w:bCs/>
          <w:szCs w:val="22"/>
        </w:rPr>
      </w:pPr>
      <w:r>
        <w:rPr>
          <w:rFonts w:ascii="Times New Roman" w:hAnsi="Times New Roman" w:cs="Times New Roman"/>
          <w:bCs/>
          <w:szCs w:val="22"/>
        </w:rPr>
        <w:t>Oficio N° 2895, de 26.10.2012</w:t>
      </w:r>
    </w:p>
    <w:p w:rsidR="00782EC8" w:rsidRDefault="00782EC8" w:rsidP="00782EC8">
      <w:pPr>
        <w:pStyle w:val="Sangra2detindependiente"/>
        <w:ind w:left="0" w:firstLine="0"/>
        <w:jc w:val="center"/>
        <w:rPr>
          <w:rFonts w:ascii="Times New Roman" w:hAnsi="Times New Roman" w:cs="Times New Roman"/>
          <w:b/>
          <w:bCs/>
          <w:szCs w:val="22"/>
        </w:rPr>
      </w:pPr>
      <w:r>
        <w:rPr>
          <w:rFonts w:ascii="Times New Roman" w:hAnsi="Times New Roman" w:cs="Times New Roman"/>
          <w:b/>
          <w:bCs/>
          <w:szCs w:val="22"/>
        </w:rPr>
        <w:t>Subdirección Normativa</w:t>
      </w:r>
    </w:p>
    <w:p w:rsidR="00782EC8" w:rsidRPr="00782EC8" w:rsidRDefault="00782EC8" w:rsidP="00782EC8">
      <w:pPr>
        <w:pStyle w:val="Sangra2detindependiente"/>
        <w:ind w:left="0" w:firstLine="0"/>
        <w:jc w:val="center"/>
        <w:rPr>
          <w:rFonts w:ascii="Times New Roman" w:hAnsi="Times New Roman" w:cs="Times New Roman"/>
          <w:bCs/>
          <w:szCs w:val="22"/>
        </w:rPr>
      </w:pPr>
      <w:r>
        <w:rPr>
          <w:rFonts w:ascii="Times New Roman" w:hAnsi="Times New Roman" w:cs="Times New Roman"/>
          <w:bCs/>
          <w:szCs w:val="22"/>
        </w:rPr>
        <w:t>Dpto. de Impuestos Directos</w:t>
      </w:r>
    </w:p>
    <w:sectPr w:rsidR="00782EC8" w:rsidRPr="00782EC8" w:rsidSect="004A0F11">
      <w:headerReference w:type="even" r:id="rId8"/>
      <w:headerReference w:type="default" r:id="rId9"/>
      <w:pgSz w:w="12242" w:h="18722" w:code="134"/>
      <w:pgMar w:top="1418" w:right="1701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628A" w:rsidRDefault="0098628A">
      <w:r>
        <w:separator/>
      </w:r>
    </w:p>
  </w:endnote>
  <w:endnote w:type="continuationSeparator" w:id="0">
    <w:p w:rsidR="0098628A" w:rsidRDefault="009862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628A" w:rsidRDefault="0098628A">
      <w:r>
        <w:separator/>
      </w:r>
    </w:p>
  </w:footnote>
  <w:footnote w:type="continuationSeparator" w:id="0">
    <w:p w:rsidR="0098628A" w:rsidRDefault="0098628A">
      <w:r>
        <w:continuationSeparator/>
      </w:r>
    </w:p>
  </w:footnote>
  <w:footnote w:id="1">
    <w:p w:rsidR="00A94FA9" w:rsidRPr="00BE6E19" w:rsidRDefault="00A94FA9">
      <w:pPr>
        <w:pStyle w:val="Textonotapie"/>
        <w:rPr>
          <w:sz w:val="18"/>
          <w:szCs w:val="18"/>
          <w:lang w:val="es-CL"/>
        </w:rPr>
      </w:pPr>
      <w:r w:rsidRPr="00BE6E19">
        <w:rPr>
          <w:rStyle w:val="Refdenotaalpie"/>
          <w:sz w:val="18"/>
          <w:szCs w:val="18"/>
        </w:rPr>
        <w:footnoteRef/>
      </w:r>
      <w:r w:rsidRPr="00BE6E19">
        <w:rPr>
          <w:sz w:val="18"/>
          <w:szCs w:val="18"/>
        </w:rPr>
        <w:t xml:space="preserve"> </w:t>
      </w:r>
      <w:r w:rsidRPr="00BE6E19">
        <w:rPr>
          <w:sz w:val="18"/>
          <w:szCs w:val="18"/>
          <w:lang w:val="es-CL" w:eastAsia="es-CL"/>
        </w:rPr>
        <w:t>Oficios N°s. 2.386, de 2007, 1.818, de 2009 y 492, de 2011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1226" w:rsidRDefault="004A0F11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731226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731226" w:rsidRDefault="00731226">
    <w:pPr>
      <w:pStyle w:val="Encabezado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1226" w:rsidRDefault="004A0F11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731226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13A7B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731226" w:rsidRDefault="00731226">
    <w:pPr>
      <w:pStyle w:val="Encabezad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713BA"/>
    <w:multiLevelType w:val="hybridMultilevel"/>
    <w:tmpl w:val="648E292A"/>
    <w:lvl w:ilvl="0" w:tplc="3EB8AB4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5AD4994"/>
    <w:multiLevelType w:val="hybridMultilevel"/>
    <w:tmpl w:val="68842AA4"/>
    <w:lvl w:ilvl="0" w:tplc="3752B8D6">
      <w:numFmt w:val="bullet"/>
      <w:lvlText w:val="-"/>
      <w:lvlJc w:val="left"/>
      <w:pPr>
        <w:ind w:left="735" w:hanging="375"/>
      </w:pPr>
      <w:rPr>
        <w:rFonts w:ascii="Arial" w:eastAsia="Times New Roman" w:hAnsi="Arial" w:cs="Arial" w:hint="default"/>
        <w:b w:val="0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522479"/>
    <w:multiLevelType w:val="multilevel"/>
    <w:tmpl w:val="E55E0B8E"/>
    <w:lvl w:ilvl="0">
      <w:start w:val="340"/>
      <w:numFmt w:val="decimal"/>
      <w:lvlText w:val="%1"/>
      <w:lvlJc w:val="left"/>
      <w:pPr>
        <w:tabs>
          <w:tab w:val="num" w:pos="1095"/>
        </w:tabs>
        <w:ind w:left="1095" w:hanging="1095"/>
      </w:pPr>
      <w:rPr>
        <w:rFonts w:hint="default"/>
      </w:rPr>
    </w:lvl>
    <w:lvl w:ilvl="1">
      <w:start w:val="2006"/>
      <w:numFmt w:val="decimal"/>
      <w:lvlText w:val="%1.%2"/>
      <w:lvlJc w:val="left"/>
      <w:pPr>
        <w:tabs>
          <w:tab w:val="num" w:pos="2715"/>
        </w:tabs>
        <w:ind w:left="2715" w:hanging="109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335"/>
        </w:tabs>
        <w:ind w:left="4335" w:hanging="109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955"/>
        </w:tabs>
        <w:ind w:left="5955" w:hanging="109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575"/>
        </w:tabs>
        <w:ind w:left="7575" w:hanging="109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9195"/>
        </w:tabs>
        <w:ind w:left="9195" w:hanging="109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1160"/>
        </w:tabs>
        <w:ind w:left="111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2780"/>
        </w:tabs>
        <w:ind w:left="127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760"/>
        </w:tabs>
        <w:ind w:left="14760" w:hanging="1800"/>
      </w:pPr>
      <w:rPr>
        <w:rFonts w:hint="default"/>
      </w:rPr>
    </w:lvl>
  </w:abstractNum>
  <w:abstractNum w:abstractNumId="3">
    <w:nsid w:val="3FF43068"/>
    <w:multiLevelType w:val="hybridMultilevel"/>
    <w:tmpl w:val="9BA47A5A"/>
    <w:lvl w:ilvl="0" w:tplc="45789D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3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D612B4F"/>
    <w:multiLevelType w:val="hybridMultilevel"/>
    <w:tmpl w:val="56E032AE"/>
    <w:lvl w:ilvl="0" w:tplc="F078CB06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F2D02FC"/>
    <w:multiLevelType w:val="multilevel"/>
    <w:tmpl w:val="752CB4E0"/>
    <w:lvl w:ilvl="0">
      <w:start w:val="77"/>
      <w:numFmt w:val="decimal"/>
      <w:lvlText w:val="%1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>
      <w:start w:val="2006"/>
      <w:numFmt w:val="decimal"/>
      <w:lvlText w:val="%1.%2"/>
      <w:lvlJc w:val="left"/>
      <w:pPr>
        <w:tabs>
          <w:tab w:val="num" w:pos="2700"/>
        </w:tabs>
        <w:ind w:left="2700" w:hanging="9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440"/>
        </w:tabs>
        <w:ind w:left="444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6180"/>
        </w:tabs>
        <w:ind w:left="6180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040"/>
        </w:tabs>
        <w:ind w:left="8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9780"/>
        </w:tabs>
        <w:ind w:left="9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1880"/>
        </w:tabs>
        <w:ind w:left="11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3620"/>
        </w:tabs>
        <w:ind w:left="136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720"/>
        </w:tabs>
        <w:ind w:left="15720" w:hanging="1800"/>
      </w:pPr>
      <w:rPr>
        <w:rFonts w:hint="default"/>
      </w:rPr>
    </w:lvl>
  </w:abstractNum>
  <w:abstractNum w:abstractNumId="6">
    <w:nsid w:val="686D677B"/>
    <w:multiLevelType w:val="hybridMultilevel"/>
    <w:tmpl w:val="2FD69C14"/>
    <w:lvl w:ilvl="0" w:tplc="E2022BE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6"/>
  </w:num>
  <w:num w:numId="6">
    <w:abstractNumId w:val="3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2731F"/>
    <w:rsid w:val="00003DA5"/>
    <w:rsid w:val="00023775"/>
    <w:rsid w:val="000910EB"/>
    <w:rsid w:val="00092278"/>
    <w:rsid w:val="000B354F"/>
    <w:rsid w:val="000D0D28"/>
    <w:rsid w:val="000D296D"/>
    <w:rsid w:val="000E3D91"/>
    <w:rsid w:val="000E62BC"/>
    <w:rsid w:val="000F3B01"/>
    <w:rsid w:val="00113A7B"/>
    <w:rsid w:val="001450C2"/>
    <w:rsid w:val="00151373"/>
    <w:rsid w:val="00171EDF"/>
    <w:rsid w:val="00174F17"/>
    <w:rsid w:val="001759CE"/>
    <w:rsid w:val="00197AE0"/>
    <w:rsid w:val="001A32E7"/>
    <w:rsid w:val="001A62BD"/>
    <w:rsid w:val="001F4E47"/>
    <w:rsid w:val="0024340D"/>
    <w:rsid w:val="002477A9"/>
    <w:rsid w:val="002547EA"/>
    <w:rsid w:val="00263B47"/>
    <w:rsid w:val="002B0D88"/>
    <w:rsid w:val="002E601E"/>
    <w:rsid w:val="002F75B5"/>
    <w:rsid w:val="00300BCC"/>
    <w:rsid w:val="00304306"/>
    <w:rsid w:val="003175CB"/>
    <w:rsid w:val="00357133"/>
    <w:rsid w:val="00392D64"/>
    <w:rsid w:val="00397209"/>
    <w:rsid w:val="003D1957"/>
    <w:rsid w:val="003D19D6"/>
    <w:rsid w:val="003E2B07"/>
    <w:rsid w:val="00433544"/>
    <w:rsid w:val="00481516"/>
    <w:rsid w:val="004A0F11"/>
    <w:rsid w:val="00501AAF"/>
    <w:rsid w:val="00520366"/>
    <w:rsid w:val="005702EA"/>
    <w:rsid w:val="005C18B3"/>
    <w:rsid w:val="005F71F1"/>
    <w:rsid w:val="006021D6"/>
    <w:rsid w:val="0062731F"/>
    <w:rsid w:val="00655425"/>
    <w:rsid w:val="006710F5"/>
    <w:rsid w:val="006968F6"/>
    <w:rsid w:val="006C6626"/>
    <w:rsid w:val="00714CD5"/>
    <w:rsid w:val="00730D8D"/>
    <w:rsid w:val="00731226"/>
    <w:rsid w:val="00770B67"/>
    <w:rsid w:val="00782EC8"/>
    <w:rsid w:val="00797A35"/>
    <w:rsid w:val="007B05E3"/>
    <w:rsid w:val="007C324D"/>
    <w:rsid w:val="007E2EDA"/>
    <w:rsid w:val="007E4A5D"/>
    <w:rsid w:val="00847E99"/>
    <w:rsid w:val="00872BFF"/>
    <w:rsid w:val="008A38C9"/>
    <w:rsid w:val="008D1930"/>
    <w:rsid w:val="008D4391"/>
    <w:rsid w:val="008E7CDA"/>
    <w:rsid w:val="00913414"/>
    <w:rsid w:val="0093777A"/>
    <w:rsid w:val="00942D9C"/>
    <w:rsid w:val="00954AA2"/>
    <w:rsid w:val="0098628A"/>
    <w:rsid w:val="009E1D57"/>
    <w:rsid w:val="00A4737D"/>
    <w:rsid w:val="00A47A54"/>
    <w:rsid w:val="00A71ED7"/>
    <w:rsid w:val="00A7546A"/>
    <w:rsid w:val="00A760A2"/>
    <w:rsid w:val="00A86F83"/>
    <w:rsid w:val="00A92992"/>
    <w:rsid w:val="00A94FA9"/>
    <w:rsid w:val="00A966D2"/>
    <w:rsid w:val="00AC0769"/>
    <w:rsid w:val="00AC22C6"/>
    <w:rsid w:val="00AC7C80"/>
    <w:rsid w:val="00AE7A2E"/>
    <w:rsid w:val="00AF6958"/>
    <w:rsid w:val="00AF70AE"/>
    <w:rsid w:val="00BE6E19"/>
    <w:rsid w:val="00BF5769"/>
    <w:rsid w:val="00C34A34"/>
    <w:rsid w:val="00C7243A"/>
    <w:rsid w:val="00C74725"/>
    <w:rsid w:val="00C85957"/>
    <w:rsid w:val="00CF5731"/>
    <w:rsid w:val="00D076E2"/>
    <w:rsid w:val="00D45619"/>
    <w:rsid w:val="00D91270"/>
    <w:rsid w:val="00DE1EFD"/>
    <w:rsid w:val="00E0363D"/>
    <w:rsid w:val="00E04BC5"/>
    <w:rsid w:val="00E37922"/>
    <w:rsid w:val="00E41D04"/>
    <w:rsid w:val="00E61E33"/>
    <w:rsid w:val="00E6315C"/>
    <w:rsid w:val="00E722B4"/>
    <w:rsid w:val="00EE1331"/>
    <w:rsid w:val="00EF68CF"/>
    <w:rsid w:val="00F10F83"/>
    <w:rsid w:val="00F242BF"/>
    <w:rsid w:val="00F32AB6"/>
    <w:rsid w:val="00F40FCA"/>
    <w:rsid w:val="00F716D6"/>
    <w:rsid w:val="00FB4A0D"/>
    <w:rsid w:val="00FF18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0F11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qFormat/>
    <w:rsid w:val="004A0F11"/>
    <w:pPr>
      <w:keepNext/>
      <w:outlineLvl w:val="0"/>
    </w:pPr>
    <w:rPr>
      <w:rFonts w:ascii="Arial" w:hAnsi="Arial" w:cs="Arial"/>
      <w:b/>
      <w:bCs/>
      <w:sz w:val="22"/>
    </w:rPr>
  </w:style>
  <w:style w:type="paragraph" w:styleId="Ttulo2">
    <w:name w:val="heading 2"/>
    <w:basedOn w:val="Normal"/>
    <w:next w:val="Normal"/>
    <w:qFormat/>
    <w:rsid w:val="004A0F11"/>
    <w:pPr>
      <w:keepNext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qFormat/>
    <w:rsid w:val="004A0F11"/>
    <w:pPr>
      <w:keepNext/>
      <w:ind w:left="720" w:hanging="720"/>
      <w:outlineLvl w:val="2"/>
    </w:pPr>
    <w:rPr>
      <w:rFonts w:ascii="Arial" w:hAnsi="Arial" w:cs="Arial"/>
      <w:b/>
      <w:bCs/>
      <w:sz w:val="22"/>
    </w:rPr>
  </w:style>
  <w:style w:type="paragraph" w:styleId="Ttulo4">
    <w:name w:val="heading 4"/>
    <w:basedOn w:val="Normal"/>
    <w:next w:val="Normal"/>
    <w:qFormat/>
    <w:rsid w:val="004A0F11"/>
    <w:pPr>
      <w:keepNext/>
      <w:ind w:left="540" w:hanging="540"/>
      <w:outlineLvl w:val="3"/>
    </w:pPr>
    <w:rPr>
      <w:rFonts w:ascii="Arial" w:hAnsi="Arial" w:cs="Arial"/>
      <w:b/>
      <w:bCs/>
      <w:sz w:val="22"/>
      <w:lang w:val="en-US"/>
    </w:rPr>
  </w:style>
  <w:style w:type="paragraph" w:styleId="Ttulo5">
    <w:name w:val="heading 5"/>
    <w:basedOn w:val="Normal"/>
    <w:next w:val="Normal"/>
    <w:qFormat/>
    <w:rsid w:val="004A0F11"/>
    <w:pPr>
      <w:keepNext/>
      <w:ind w:left="4860" w:hanging="900"/>
      <w:outlineLvl w:val="4"/>
    </w:pPr>
    <w:rPr>
      <w:rFonts w:ascii="Arial" w:hAnsi="Arial" w:cs="Arial"/>
      <w:b/>
      <w:bCs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semiHidden/>
    <w:rsid w:val="004A0F11"/>
    <w:pPr>
      <w:ind w:left="720" w:hanging="720"/>
      <w:jc w:val="both"/>
    </w:pPr>
    <w:rPr>
      <w:rFonts w:ascii="Arial" w:hAnsi="Arial" w:cs="Arial"/>
      <w:b/>
      <w:bCs/>
      <w:sz w:val="22"/>
    </w:rPr>
  </w:style>
  <w:style w:type="paragraph" w:styleId="Sangra2detindependiente">
    <w:name w:val="Body Text Indent 2"/>
    <w:basedOn w:val="Normal"/>
    <w:semiHidden/>
    <w:rsid w:val="004A0F11"/>
    <w:pPr>
      <w:ind w:left="540" w:hanging="540"/>
      <w:jc w:val="both"/>
    </w:pPr>
    <w:rPr>
      <w:rFonts w:ascii="Arial" w:hAnsi="Arial" w:cs="Arial"/>
      <w:sz w:val="22"/>
    </w:rPr>
  </w:style>
  <w:style w:type="paragraph" w:styleId="Sangra3detindependiente">
    <w:name w:val="Body Text Indent 3"/>
    <w:basedOn w:val="Normal"/>
    <w:semiHidden/>
    <w:rsid w:val="004A0F11"/>
    <w:pPr>
      <w:ind w:left="4860" w:hanging="900"/>
    </w:pPr>
    <w:rPr>
      <w:rFonts w:ascii="Arial" w:hAnsi="Arial" w:cs="Arial"/>
      <w:sz w:val="22"/>
    </w:rPr>
  </w:style>
  <w:style w:type="paragraph" w:styleId="Encabezado">
    <w:name w:val="header"/>
    <w:basedOn w:val="Normal"/>
    <w:semiHidden/>
    <w:rsid w:val="004A0F11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semiHidden/>
    <w:rsid w:val="004A0F11"/>
  </w:style>
  <w:style w:type="paragraph" w:styleId="NormalWeb">
    <w:name w:val="Normal (Web)"/>
    <w:basedOn w:val="Normal"/>
    <w:uiPriority w:val="99"/>
    <w:rsid w:val="004A0F1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Estilo">
    <w:name w:val="Estilo"/>
    <w:rsid w:val="004A0F11"/>
    <w:pPr>
      <w:widowControl w:val="0"/>
      <w:autoSpaceDE w:val="0"/>
      <w:autoSpaceDN w:val="0"/>
      <w:adjustRightInd w:val="0"/>
    </w:pPr>
    <w:rPr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93777A"/>
    <w:rPr>
      <w:color w:val="003399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94FA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94FA9"/>
    <w:rPr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94FA9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E1EF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E1EFD"/>
    <w:rPr>
      <w:rFonts w:ascii="Tahoma" w:hAnsi="Tahoma" w:cs="Tahoma"/>
      <w:sz w:val="16"/>
      <w:szCs w:val="16"/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96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3B3BB9-3C41-434A-8B8E-54DD6D237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341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SERVICIO DE IMPUESTOS INTERNOS</vt:lpstr>
    </vt:vector>
  </TitlesOfParts>
  <Company>Servicio de Impuestos Internos</Company>
  <LinksUpToDate>false</LinksUpToDate>
  <CharactersWithSpaces>2214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SERVICIO DE IMPUESTOS INTERNOS</dc:title>
  <dc:subject/>
  <dc:creator>pbaraona</dc:creator>
  <cp:keywords/>
  <dc:description/>
  <cp:lastModifiedBy>SoporteSII</cp:lastModifiedBy>
  <cp:revision>2</cp:revision>
  <cp:lastPrinted>2012-08-09T18:58:00Z</cp:lastPrinted>
  <dcterms:created xsi:type="dcterms:W3CDTF">2012-10-30T21:17:00Z</dcterms:created>
  <dcterms:modified xsi:type="dcterms:W3CDTF">2012-10-30T21:17:00Z</dcterms:modified>
</cp:coreProperties>
</file>