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F74" w:rsidRDefault="007B3F74" w:rsidP="007B3F74">
      <w:pPr>
        <w:contextualSpacing/>
        <w:jc w:val="center"/>
        <w:rPr>
          <w:rFonts w:ascii="Times New Roman" w:hAnsi="Times New Roman"/>
          <w:b/>
        </w:rPr>
      </w:pPr>
      <w:r w:rsidRPr="00FA013B">
        <w:rPr>
          <w:rFonts w:ascii="Times New Roman" w:hAnsi="Times New Roman"/>
          <w:b/>
        </w:rPr>
        <w:t>RENTA – ACTUAL LEY SOBRE IMPUESTO A LA –</w:t>
      </w:r>
      <w:r>
        <w:rPr>
          <w:rFonts w:ascii="Times New Roman" w:hAnsi="Times New Roman"/>
          <w:b/>
        </w:rPr>
        <w:t xml:space="preserve"> </w:t>
      </w:r>
      <w:r w:rsidR="00B96D3C">
        <w:rPr>
          <w:rFonts w:ascii="Times New Roman" w:hAnsi="Times New Roman"/>
          <w:b/>
        </w:rPr>
        <w:t xml:space="preserve">ART. 65 N° 1 – CÓDIGO TRIBUTARIO, ART. 68 – RES. EX. N° 36, DE 2011 </w:t>
      </w:r>
      <w:r>
        <w:rPr>
          <w:rFonts w:ascii="Times New Roman" w:hAnsi="Times New Roman"/>
          <w:b/>
        </w:rPr>
        <w:t>(ORD. N° 28</w:t>
      </w:r>
      <w:r w:rsidR="00B96D3C">
        <w:rPr>
          <w:rFonts w:ascii="Times New Roman" w:hAnsi="Times New Roman"/>
          <w:b/>
        </w:rPr>
        <w:t>96, DE 26</w:t>
      </w:r>
      <w:r>
        <w:rPr>
          <w:rFonts w:ascii="Times New Roman" w:hAnsi="Times New Roman"/>
          <w:b/>
        </w:rPr>
        <w:t>.10.2012)</w:t>
      </w:r>
    </w:p>
    <w:p w:rsidR="007B3F74" w:rsidRDefault="007B3F74" w:rsidP="007B3F74">
      <w:pPr>
        <w:contextualSpacing/>
        <w:jc w:val="center"/>
        <w:rPr>
          <w:rFonts w:ascii="Times New Roman" w:hAnsi="Times New Roman"/>
          <w:b/>
          <w:szCs w:val="22"/>
        </w:rPr>
      </w:pP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p>
    <w:p w:rsidR="0042495A" w:rsidRDefault="00C6557A" w:rsidP="00FE795A">
      <w:pPr>
        <w:ind w:hanging="2"/>
        <w:rPr>
          <w:rFonts w:ascii="Times New Roman" w:hAnsi="Times New Roman"/>
          <w:b/>
          <w:szCs w:val="22"/>
        </w:rPr>
      </w:pPr>
      <w:r w:rsidRPr="00C6557A">
        <w:rPr>
          <w:rFonts w:ascii="Times New Roman" w:hAnsi="Times New Roman"/>
          <w:b/>
          <w:szCs w:val="22"/>
        </w:rPr>
        <w:t>RUT</w:t>
      </w:r>
      <w:r>
        <w:rPr>
          <w:rFonts w:ascii="Times New Roman" w:hAnsi="Times New Roman"/>
          <w:b/>
          <w:szCs w:val="22"/>
        </w:rPr>
        <w:t xml:space="preserve"> – inversionista extranjero – sistema simplificado – </w:t>
      </w:r>
      <w:r w:rsidRPr="00C6557A">
        <w:rPr>
          <w:rFonts w:ascii="Times New Roman" w:hAnsi="Times New Roman"/>
          <w:b/>
          <w:szCs w:val="22"/>
        </w:rPr>
        <w:t>Resolución Ex. N°</w:t>
      </w:r>
      <w:r w:rsidR="00B96D3C">
        <w:rPr>
          <w:rFonts w:ascii="Times New Roman" w:hAnsi="Times New Roman"/>
          <w:b/>
          <w:szCs w:val="22"/>
        </w:rPr>
        <w:t xml:space="preserve"> </w:t>
      </w:r>
      <w:r w:rsidRPr="00C6557A">
        <w:rPr>
          <w:rFonts w:ascii="Times New Roman" w:hAnsi="Times New Roman"/>
          <w:b/>
          <w:szCs w:val="22"/>
        </w:rPr>
        <w:t>36, de 2011</w:t>
      </w:r>
    </w:p>
    <w:p w:rsidR="00716982" w:rsidRPr="00716982" w:rsidRDefault="00716982" w:rsidP="00FE795A">
      <w:pPr>
        <w:ind w:hanging="2"/>
        <w:rPr>
          <w:rFonts w:ascii="Times New Roman" w:hAnsi="Times New Roman"/>
          <w:b/>
          <w:szCs w:val="22"/>
        </w:rPr>
      </w:pPr>
    </w:p>
    <w:p w:rsidR="007B0A78" w:rsidRPr="00FE795A" w:rsidRDefault="007B0A78" w:rsidP="00E22FC6">
      <w:pPr>
        <w:numPr>
          <w:ilvl w:val="0"/>
          <w:numId w:val="4"/>
        </w:numPr>
        <w:spacing w:before="240" w:after="240"/>
        <w:ind w:left="426" w:firstLine="0"/>
        <w:rPr>
          <w:rFonts w:ascii="Times New Roman" w:hAnsi="Times New Roman"/>
          <w:b/>
          <w:szCs w:val="22"/>
          <w:lang w:val="es-ES_tradnl"/>
        </w:rPr>
      </w:pPr>
      <w:r w:rsidRPr="00FE795A">
        <w:rPr>
          <w:rFonts w:ascii="Times New Roman" w:hAnsi="Times New Roman"/>
          <w:b/>
          <w:szCs w:val="22"/>
          <w:lang w:val="es-ES_tradnl"/>
        </w:rPr>
        <w:t>ANTECEDENTES</w:t>
      </w:r>
      <w:r w:rsidR="003B2CC9" w:rsidRPr="00FE795A">
        <w:rPr>
          <w:rFonts w:ascii="Times New Roman" w:hAnsi="Times New Roman"/>
          <w:b/>
          <w:szCs w:val="22"/>
          <w:lang w:val="es-ES_tradnl"/>
        </w:rPr>
        <w:t>.</w:t>
      </w:r>
    </w:p>
    <w:p w:rsidR="00C6557A" w:rsidRPr="00C6557A" w:rsidRDefault="00C6557A" w:rsidP="00C6557A">
      <w:pPr>
        <w:rPr>
          <w:rFonts w:ascii="Times New Roman" w:hAnsi="Times New Roman"/>
          <w:szCs w:val="22"/>
          <w:lang w:val="es-ES_tradnl"/>
        </w:rPr>
      </w:pPr>
      <w:r w:rsidRPr="00C6557A">
        <w:rPr>
          <w:rFonts w:ascii="Times New Roman" w:hAnsi="Times New Roman"/>
          <w:szCs w:val="22"/>
          <w:lang w:val="es-ES_tradnl"/>
        </w:rPr>
        <w:t>Durante el año 1998,  XX SA, en su calidad de inversionista extranjero sin domicilio ni residencia en Chile, obtuvo el RUT N° N° alfa. Actualmente posee una inversión directa del 61,22% de las acciones de  XX Inversiones Chile, sociedad anónima cerrada constituida en Chile, y a través de la cual posee el control de las sociedades pertenecientes al Grupo  XX Chile.</w:t>
      </w:r>
    </w:p>
    <w:p w:rsidR="00C6557A" w:rsidRPr="00C6557A" w:rsidRDefault="00C6557A" w:rsidP="00C6557A">
      <w:pPr>
        <w:rPr>
          <w:rFonts w:ascii="Times New Roman" w:hAnsi="Times New Roman"/>
          <w:szCs w:val="22"/>
          <w:lang w:val="es-ES_tradnl"/>
        </w:rPr>
      </w:pPr>
      <w:r w:rsidRPr="00C6557A">
        <w:rPr>
          <w:rFonts w:ascii="Times New Roman" w:hAnsi="Times New Roman"/>
          <w:szCs w:val="22"/>
          <w:lang w:val="es-ES_tradnl"/>
        </w:rPr>
        <w:t>Para esta inversión mantiene un contrato de “Agente responsable para fines tributarios” con el  XX Chile, dando cumplimiento a los aspectos normativos y de control establecidos en la Resolución Ex. N°36, de 2011. En dicho contrato se incluye exclusivamente la inversión en  XX Inversiones Chile.</w:t>
      </w:r>
    </w:p>
    <w:p w:rsidR="00C6557A" w:rsidRPr="00C6557A" w:rsidRDefault="00C6557A" w:rsidP="00C6557A">
      <w:pPr>
        <w:rPr>
          <w:rFonts w:ascii="Times New Roman" w:hAnsi="Times New Roman"/>
          <w:szCs w:val="22"/>
          <w:lang w:val="es-ES_tradnl"/>
        </w:rPr>
      </w:pPr>
      <w:r w:rsidRPr="00C6557A">
        <w:rPr>
          <w:rFonts w:ascii="Times New Roman" w:hAnsi="Times New Roman"/>
          <w:szCs w:val="22"/>
          <w:lang w:val="es-ES_tradnl"/>
        </w:rPr>
        <w:t>Con el propósito de invertir en el mercado de capitales chileno, principalmente en acciones de sociedades anónimas abiertas, en adelante las “Inversión Trade”,  XX SA suscribió, durante el año 2004, con Banco 1 sucursal en Chile, un mandato y custodia de acciones. En esa oportunidad se solicitó por error la emisión de un RUT para operar en Chile, ya que este tipo de inversiones se administran a través de un custodio global, quien no reparó en que ya existía RUT, procediéndose a la emisión del RUT N° beta. Actualmente el custodio internacional es Banco 2, siendo su vez, el subcustodio en el país el Banco 3, institución financiera no relacionada con el grupo  XX, la cual tiene estas Inversiones Trade en custodia, bajo el mencionado RUT N° beta.</w:t>
      </w:r>
    </w:p>
    <w:p w:rsidR="00C6557A" w:rsidRPr="00C6557A" w:rsidRDefault="00C6557A" w:rsidP="00C6557A">
      <w:pPr>
        <w:rPr>
          <w:rFonts w:ascii="Times New Roman" w:hAnsi="Times New Roman"/>
          <w:szCs w:val="22"/>
          <w:lang w:val="es-ES_tradnl"/>
        </w:rPr>
      </w:pPr>
      <w:r w:rsidRPr="00C6557A">
        <w:rPr>
          <w:rFonts w:ascii="Times New Roman" w:hAnsi="Times New Roman"/>
          <w:szCs w:val="22"/>
          <w:lang w:val="es-ES_tradnl"/>
        </w:rPr>
        <w:t>XX no desarrolla otras actividades en Chile, dado que sólo invierte en las acciones de la sociedad anónima cerrada mediante la cual ejerce el control societario referido y otras inversiones en capitales mobiliarios, tales como inversiones en acciones de sociedades anónimas abiertas. En el futuro desea efectuar operaciones de las indicadas en el Anexo 1 de la Resolución Ex. N°36, de 2011, las que se llevarán a cabo al amparo del contrato de custodia que tiene con una institución financiera local, actualmente el Banco 3 en su calidad de subcustodio en Chile, quien asume la responsabilidad de Agente para efectos tributarios de dichas inversiones.</w:t>
      </w:r>
    </w:p>
    <w:p w:rsidR="00C6557A" w:rsidRPr="00C6557A" w:rsidRDefault="00C6557A" w:rsidP="00C6557A">
      <w:pPr>
        <w:rPr>
          <w:rFonts w:ascii="Times New Roman" w:hAnsi="Times New Roman"/>
          <w:szCs w:val="22"/>
          <w:lang w:val="es-ES_tradnl"/>
        </w:rPr>
      </w:pPr>
      <w:r w:rsidRPr="00C6557A">
        <w:rPr>
          <w:rFonts w:ascii="Times New Roman" w:hAnsi="Times New Roman"/>
          <w:szCs w:val="22"/>
          <w:lang w:val="es-ES_tradnl"/>
        </w:rPr>
        <w:t>Las reglas de asignación de RUT de la citada Resolución Ex. N°36 indican expresamente que cada contribuyente podrá tener un sólo RUT. Para continuar con sus operaciones,  XX SA requiere tener certeza del RUT que debe seguir utilizando, por lo que solicita confirmar lo siguiente:</w:t>
      </w:r>
    </w:p>
    <w:p w:rsidR="00C6557A" w:rsidRDefault="00C6557A" w:rsidP="00C6557A">
      <w:pPr>
        <w:pStyle w:val="Prrafodelista"/>
        <w:numPr>
          <w:ilvl w:val="0"/>
          <w:numId w:val="9"/>
        </w:numPr>
        <w:rPr>
          <w:rFonts w:ascii="Times New Roman" w:hAnsi="Times New Roman"/>
          <w:szCs w:val="22"/>
          <w:lang w:val="es-ES_tradnl"/>
        </w:rPr>
      </w:pPr>
      <w:r w:rsidRPr="00C6557A">
        <w:rPr>
          <w:rFonts w:ascii="Times New Roman" w:hAnsi="Times New Roman"/>
          <w:szCs w:val="22"/>
          <w:lang w:val="es-ES_tradnl"/>
        </w:rPr>
        <w:t>Que  XX SA debe continuar utilizando sólo el RUT N° alfa para todas sus inversiones en capitales mobiliarios o cualquier operación de las indicadas en el Anexo 1 de la Resolución Ex. N°36, de 2011, o bien, en caso contrario, precisar que debe continuar sus operaciones sólo bajo el RUT N° beta</w:t>
      </w:r>
    </w:p>
    <w:p w:rsidR="00C6557A" w:rsidRDefault="00C6557A" w:rsidP="00C6557A">
      <w:pPr>
        <w:pStyle w:val="Prrafodelista"/>
        <w:numPr>
          <w:ilvl w:val="0"/>
          <w:numId w:val="9"/>
        </w:numPr>
        <w:rPr>
          <w:rFonts w:ascii="Times New Roman" w:hAnsi="Times New Roman"/>
          <w:szCs w:val="22"/>
          <w:lang w:val="es-ES_tradnl"/>
        </w:rPr>
      </w:pPr>
      <w:r w:rsidRPr="00C6557A">
        <w:rPr>
          <w:rFonts w:ascii="Times New Roman" w:hAnsi="Times New Roman"/>
          <w:szCs w:val="22"/>
          <w:lang w:val="es-ES_tradnl"/>
        </w:rPr>
        <w:t>Que  XX puede operar bajo el sistema simplificado que contempla la Resolución Ex. N°36, de 2011, toda vez que las obligaciones tributarias principales y accesorias que correspondan serán cumplidas por sus Agentes Responsables para fines tributarios en Chile, conform</w:t>
      </w:r>
      <w:r>
        <w:rPr>
          <w:rFonts w:ascii="Times New Roman" w:hAnsi="Times New Roman"/>
          <w:szCs w:val="22"/>
          <w:lang w:val="es-ES_tradnl"/>
        </w:rPr>
        <w:t>e instruye la citada Resolución</w:t>
      </w:r>
    </w:p>
    <w:p w:rsidR="00C6557A" w:rsidRDefault="00C6557A" w:rsidP="00C6557A">
      <w:pPr>
        <w:pStyle w:val="Prrafodelista"/>
        <w:numPr>
          <w:ilvl w:val="0"/>
          <w:numId w:val="9"/>
        </w:numPr>
        <w:rPr>
          <w:rFonts w:ascii="Times New Roman" w:hAnsi="Times New Roman"/>
          <w:szCs w:val="22"/>
          <w:lang w:val="es-ES_tradnl"/>
        </w:rPr>
      </w:pPr>
      <w:r w:rsidRPr="00C6557A">
        <w:rPr>
          <w:rFonts w:ascii="Times New Roman" w:hAnsi="Times New Roman"/>
          <w:szCs w:val="22"/>
          <w:lang w:val="es-ES_tradnl"/>
        </w:rPr>
        <w:t>Que los eventuales traspasos o referencias al RUT que corresponda efectuar producto de la consolidación de las inversiones bajo un sólo RUT, en los registros del custodio y/o registro de accionista respectivo, no tienen efectos tributarios, debido a que se trata de la misma persona jurídica.</w:t>
      </w:r>
    </w:p>
    <w:p w:rsidR="002A0E89" w:rsidRPr="00C6557A" w:rsidRDefault="002A0E89" w:rsidP="002A0E89">
      <w:pPr>
        <w:pStyle w:val="Prrafodelista"/>
        <w:rPr>
          <w:rFonts w:ascii="Times New Roman" w:hAnsi="Times New Roman"/>
          <w:szCs w:val="22"/>
          <w:lang w:val="es-ES_tradnl"/>
        </w:rPr>
      </w:pPr>
    </w:p>
    <w:p w:rsidR="00C6557A" w:rsidRPr="00C6557A" w:rsidRDefault="00C6557A" w:rsidP="00C6557A">
      <w:pPr>
        <w:pStyle w:val="Prrafodelista"/>
        <w:numPr>
          <w:ilvl w:val="0"/>
          <w:numId w:val="4"/>
        </w:numPr>
        <w:rPr>
          <w:rFonts w:ascii="Times New Roman" w:hAnsi="Times New Roman"/>
          <w:b/>
          <w:szCs w:val="22"/>
          <w:lang w:val="es-ES_tradnl"/>
        </w:rPr>
      </w:pPr>
      <w:r w:rsidRPr="00C6557A">
        <w:rPr>
          <w:rFonts w:ascii="Times New Roman" w:hAnsi="Times New Roman"/>
          <w:b/>
          <w:szCs w:val="22"/>
          <w:lang w:val="es-ES_tradnl"/>
        </w:rPr>
        <w:t>ANÁLISIS.</w:t>
      </w:r>
    </w:p>
    <w:p w:rsidR="00C6557A" w:rsidRPr="00C6557A" w:rsidRDefault="00C6557A" w:rsidP="00C6557A">
      <w:pPr>
        <w:rPr>
          <w:rFonts w:ascii="Times New Roman" w:hAnsi="Times New Roman"/>
          <w:szCs w:val="22"/>
          <w:lang w:val="es-ES_tradnl"/>
        </w:rPr>
      </w:pPr>
      <w:r w:rsidRPr="00C6557A">
        <w:rPr>
          <w:rFonts w:ascii="Times New Roman" w:hAnsi="Times New Roman"/>
          <w:szCs w:val="22"/>
          <w:lang w:val="es-ES_tradnl"/>
        </w:rPr>
        <w:t>Mediante Resolución Ex. N°36, de 2011, y de conformidad con lo dispuesto en los artículos 68, inciso 2°, del Código Tributario (CT), 68, inciso 2°, y 65, N°1°, inciso 1°, de la Ley sobre Impuesto a la Renta (LIR), este Servicio estableció un procedimiento simplificado de obtención de RUT y liberación de las obligaciones de dar aviso de inicio de actividades, llevar contabilidad y presentar declaraciones anuales de impuestos, para los inversionistas sin domicilio ni residencia en Chile cuyas inversiones u operaciones susceptibles de generar rentas de fuente chilena sean exclusivamente aquellas que se indican en la citada Resolución.</w:t>
      </w:r>
    </w:p>
    <w:p w:rsidR="00C6557A" w:rsidRPr="00C6557A" w:rsidRDefault="00C6557A" w:rsidP="00C6557A">
      <w:pPr>
        <w:rPr>
          <w:rFonts w:ascii="Times New Roman" w:hAnsi="Times New Roman"/>
          <w:szCs w:val="22"/>
          <w:lang w:val="es-ES_tradnl"/>
        </w:rPr>
      </w:pPr>
      <w:r w:rsidRPr="00C6557A">
        <w:rPr>
          <w:rFonts w:ascii="Times New Roman" w:hAnsi="Times New Roman"/>
          <w:szCs w:val="22"/>
          <w:lang w:val="es-ES_tradnl"/>
        </w:rPr>
        <w:t xml:space="preserve">De acuerdo con ello, pueden acogerse a esta resolución aquellos contribuyentes sin domicilio ni residencia en el país cuyas rentas de fuente chilena provengan solamente de inversiones u operaciones de capitales mobiliarios (sea que las rentas respectivas provengan de su tenencia o enajenación) o bien, de las operaciones incluidas expresamente en el Anexo N°1 de la citada Resolución, quienes obtendrán </w:t>
      </w:r>
      <w:r w:rsidRPr="00C6557A">
        <w:rPr>
          <w:rFonts w:ascii="Times New Roman" w:hAnsi="Times New Roman"/>
          <w:szCs w:val="22"/>
          <w:lang w:val="es-ES_tradnl"/>
        </w:rPr>
        <w:lastRenderedPageBreak/>
        <w:t>un número de RUT a través de las instituciones que operen como sus "agentes responsables para fines tributarios en Chile”, y debiendo dar cumplimiento a los demás requisitos que se establecen al efecto.</w:t>
      </w:r>
    </w:p>
    <w:p w:rsidR="00C6557A" w:rsidRPr="00C6557A" w:rsidRDefault="00C6557A" w:rsidP="00C6557A">
      <w:pPr>
        <w:rPr>
          <w:rFonts w:ascii="Times New Roman" w:hAnsi="Times New Roman"/>
          <w:szCs w:val="22"/>
          <w:lang w:val="es-ES_tradnl"/>
        </w:rPr>
      </w:pPr>
      <w:r w:rsidRPr="00C6557A">
        <w:rPr>
          <w:rFonts w:ascii="Times New Roman" w:hAnsi="Times New Roman"/>
          <w:szCs w:val="22"/>
          <w:lang w:val="es-ES_tradnl"/>
        </w:rPr>
        <w:t xml:space="preserve">Por su parte, los contribuyentes sin domicilio ni residencia en Chile que hayan adquirido o tengan por objeto adquirir, con motivo de sus inversiones en el país, el control, la administración o gestión de las sociedades anónimas abiertas en las cuales invierten, podrán también acogerse a la citada Resolución, siempre que informen dicha circunstancia a su agente para fines tributarios al momento de celebrar el contrato con éste o, al momento de efectuar la inversión que le permita tomar el control, la administración o gestión de la sociedad anónima chilena, si este hecho ocurre con posterioridad a la celebración del contrato antes señalado. </w:t>
      </w:r>
    </w:p>
    <w:p w:rsidR="00C6557A" w:rsidRPr="00C6557A" w:rsidRDefault="00C6557A" w:rsidP="00C6557A">
      <w:pPr>
        <w:rPr>
          <w:rFonts w:ascii="Times New Roman" w:hAnsi="Times New Roman"/>
          <w:szCs w:val="22"/>
          <w:lang w:val="es-ES_tradnl"/>
        </w:rPr>
      </w:pPr>
      <w:r w:rsidRPr="00C6557A">
        <w:rPr>
          <w:rFonts w:ascii="Times New Roman" w:hAnsi="Times New Roman"/>
          <w:szCs w:val="22"/>
          <w:lang w:val="es-ES_tradnl"/>
        </w:rPr>
        <w:t>Cabe agregar que la mencionada Resolución también se hizo cargo de la situación de los inversionistas sin domicilio ni residencia en Chile que hayan adquirido el control, la administración o gestión de alguna sociedad anónima abierta, con anterioridad a su vigencia, quienes debían informar a este Servicio dicha situación a través de su agente, en un plazo no superior a seis meses, contados desde dicha vigencia.</w:t>
      </w:r>
    </w:p>
    <w:p w:rsidR="00C6557A" w:rsidRPr="00C6557A" w:rsidRDefault="00C6557A" w:rsidP="00C6557A">
      <w:pPr>
        <w:rPr>
          <w:rFonts w:ascii="Times New Roman" w:hAnsi="Times New Roman"/>
          <w:szCs w:val="22"/>
          <w:lang w:val="es-ES_tradnl"/>
        </w:rPr>
      </w:pPr>
      <w:r w:rsidRPr="00C6557A">
        <w:rPr>
          <w:rFonts w:ascii="Times New Roman" w:hAnsi="Times New Roman"/>
          <w:szCs w:val="22"/>
          <w:lang w:val="es-ES_tradnl"/>
        </w:rPr>
        <w:t>Ahora bien, en cuanto a las reglas de asignación de RUT, la Resolución Ex. N°36, ya citada, dispone expresamente que cada contribuyente sólo podrá tener un único número de RUT, el que corresponderá al asignado por el primer agente con que opere en el país. En caso de que el contribuyente cambie de agente o celebre nuevos contratos con otros agentes, mantendrá el mismo número de RUT, debiendo informar de tal situación al nuevo agente, mediante una declaración jurada, la que podrá ser simple, indicando expresamente su número de RUT asignado previamente y el o los agentes con los que tiene contrato vigente.</w:t>
      </w:r>
    </w:p>
    <w:p w:rsidR="00C6557A" w:rsidRPr="00C6557A" w:rsidRDefault="00C6557A" w:rsidP="00C6557A">
      <w:pPr>
        <w:rPr>
          <w:rFonts w:ascii="Times New Roman" w:hAnsi="Times New Roman"/>
          <w:szCs w:val="22"/>
          <w:lang w:val="es-ES_tradnl"/>
        </w:rPr>
      </w:pPr>
      <w:r w:rsidRPr="00C6557A">
        <w:rPr>
          <w:rFonts w:ascii="Times New Roman" w:hAnsi="Times New Roman"/>
          <w:szCs w:val="22"/>
          <w:lang w:val="es-ES_tradnl"/>
        </w:rPr>
        <w:t>De lo expuesto aparece que no existe inconveniente para que  XX SA, en su calidad de inversionista sin domicilio ni residencia en el país, opere a través de agentes responsables para fines tributarios en Chile de conformidad con lo dispuesto por la Resolución Ex. N°36, de 2011, en la medida que sus rentas de fuente chilena provengan exclusivamente de operaciones de capitales mobiliarios u otras de aquellas incluidas en el Anexo 1 de la citada Resolución, y se cumplan los demás requisitos establecidos al efecto, incluyendo, en su caso, el haber dado aviso dentro del plazo establecido para ello de las operaciones destinadas a tomar el control de las sociedades receptoras de la inversión que hubiere realizado con anterioridad.</w:t>
      </w:r>
    </w:p>
    <w:p w:rsidR="00C6557A" w:rsidRPr="00C6557A" w:rsidRDefault="00C6557A" w:rsidP="00C6557A">
      <w:pPr>
        <w:rPr>
          <w:rFonts w:ascii="Times New Roman" w:hAnsi="Times New Roman"/>
          <w:szCs w:val="22"/>
          <w:lang w:val="es-ES_tradnl"/>
        </w:rPr>
      </w:pPr>
      <w:r w:rsidRPr="00C6557A">
        <w:rPr>
          <w:rFonts w:ascii="Times New Roman" w:hAnsi="Times New Roman"/>
          <w:szCs w:val="22"/>
          <w:lang w:val="es-ES_tradnl"/>
        </w:rPr>
        <w:t>Finalmente, atendido que cada contribuyente puede tener sólo un número de RUT, independientemente que opere y mantenga contrato con distintos agentes responsables para fines tributarios, deberá continuar operando exclusivamente con el primer RUT que se le otorgó en el país. Por tanto, deberá abstenerse de utilizar el RUT asignado con posterioridad, consolidando sus inversiones en el primer RUT indicado, lo que, de tratarse efectivamente de la misma persona jurídica, no generaría efectos tributarios en Chile.</w:t>
      </w:r>
    </w:p>
    <w:p w:rsidR="00C6557A" w:rsidRPr="00C6557A" w:rsidRDefault="00C6557A" w:rsidP="00C6557A">
      <w:pPr>
        <w:rPr>
          <w:rFonts w:ascii="Times New Roman" w:hAnsi="Times New Roman"/>
          <w:b/>
          <w:szCs w:val="22"/>
          <w:lang w:val="es-ES_tradnl"/>
        </w:rPr>
      </w:pPr>
      <w:r w:rsidRPr="00C6557A">
        <w:rPr>
          <w:rFonts w:ascii="Times New Roman" w:hAnsi="Times New Roman"/>
          <w:b/>
          <w:szCs w:val="22"/>
          <w:lang w:val="es-ES_tradnl"/>
        </w:rPr>
        <w:t>III. CONCLUSIÓN.</w:t>
      </w:r>
    </w:p>
    <w:p w:rsidR="00C6557A" w:rsidRPr="00C6557A" w:rsidRDefault="00C6557A" w:rsidP="00C6557A">
      <w:pPr>
        <w:rPr>
          <w:rFonts w:ascii="Times New Roman" w:hAnsi="Times New Roman"/>
          <w:szCs w:val="22"/>
          <w:lang w:val="es-ES_tradnl"/>
        </w:rPr>
      </w:pPr>
      <w:r w:rsidRPr="00C6557A">
        <w:rPr>
          <w:rFonts w:ascii="Times New Roman" w:hAnsi="Times New Roman"/>
          <w:szCs w:val="22"/>
          <w:lang w:val="es-ES_tradnl"/>
        </w:rPr>
        <w:t>De conformidad con lo explicado en el análisis, es posible concluir que:</w:t>
      </w:r>
    </w:p>
    <w:p w:rsidR="00C6557A" w:rsidRDefault="00C6557A" w:rsidP="00C6557A">
      <w:pPr>
        <w:pStyle w:val="Prrafodelista"/>
        <w:numPr>
          <w:ilvl w:val="0"/>
          <w:numId w:val="8"/>
        </w:numPr>
        <w:rPr>
          <w:rFonts w:ascii="Times New Roman" w:hAnsi="Times New Roman"/>
          <w:szCs w:val="22"/>
          <w:lang w:val="es-ES_tradnl"/>
        </w:rPr>
      </w:pPr>
      <w:r w:rsidRPr="00C6557A">
        <w:rPr>
          <w:rFonts w:ascii="Times New Roman" w:hAnsi="Times New Roman"/>
          <w:szCs w:val="22"/>
          <w:lang w:val="es-ES_tradnl"/>
        </w:rPr>
        <w:t>XX debe continuar utilizando sólo el primer RUT que se le otorgó en Chile</w:t>
      </w:r>
    </w:p>
    <w:p w:rsidR="00C6557A" w:rsidRDefault="00C6557A" w:rsidP="00C6557A">
      <w:pPr>
        <w:pStyle w:val="Prrafodelista"/>
        <w:numPr>
          <w:ilvl w:val="0"/>
          <w:numId w:val="8"/>
        </w:numPr>
        <w:rPr>
          <w:rFonts w:ascii="Times New Roman" w:hAnsi="Times New Roman"/>
          <w:szCs w:val="22"/>
          <w:lang w:val="es-ES_tradnl"/>
        </w:rPr>
      </w:pPr>
      <w:r w:rsidRPr="00C6557A">
        <w:rPr>
          <w:rFonts w:ascii="Times New Roman" w:hAnsi="Times New Roman"/>
          <w:szCs w:val="22"/>
          <w:lang w:val="es-ES_tradnl"/>
        </w:rPr>
        <w:t>En la medida que se cumplan los requisitos que al efecto establece la Resolución Ex. N°36, de 2011,  XX en su calidad de inversionista sin domicilio ni residencia en Chile, podrá operar a través del régimen simplificado que</w:t>
      </w:r>
      <w:r>
        <w:rPr>
          <w:rFonts w:ascii="Times New Roman" w:hAnsi="Times New Roman"/>
          <w:szCs w:val="22"/>
          <w:lang w:val="es-ES_tradnl"/>
        </w:rPr>
        <w:t xml:space="preserve"> contempla la citada Resolución</w:t>
      </w:r>
    </w:p>
    <w:p w:rsidR="00C6557A" w:rsidRPr="00C6557A" w:rsidRDefault="00C6557A" w:rsidP="00C6557A">
      <w:pPr>
        <w:pStyle w:val="Prrafodelista"/>
        <w:numPr>
          <w:ilvl w:val="0"/>
          <w:numId w:val="8"/>
        </w:numPr>
        <w:rPr>
          <w:rFonts w:ascii="Times New Roman" w:hAnsi="Times New Roman"/>
          <w:szCs w:val="22"/>
          <w:lang w:val="es-ES_tradnl"/>
        </w:rPr>
      </w:pPr>
      <w:r w:rsidRPr="00C6557A">
        <w:rPr>
          <w:rFonts w:ascii="Times New Roman" w:hAnsi="Times New Roman"/>
          <w:szCs w:val="22"/>
          <w:lang w:val="es-ES_tradnl"/>
        </w:rPr>
        <w:t>Los eventuales traspasos o referencias al primer RUT otorgado en Chile a  XX, producto de la consolidación de las operaciones bajo un sólo RUT, no tendrán efectos tributarios en el país, en cuanto se trata de operaciones de una misma persona jurídica.</w:t>
      </w:r>
    </w:p>
    <w:p w:rsidR="0042495A" w:rsidRPr="00FE795A" w:rsidRDefault="0042495A">
      <w:pPr>
        <w:spacing w:before="0" w:after="0"/>
        <w:rPr>
          <w:rFonts w:ascii="Times New Roman" w:hAnsi="Times New Roman"/>
          <w:szCs w:val="22"/>
        </w:rPr>
      </w:pPr>
    </w:p>
    <w:p w:rsidR="0042495A" w:rsidRPr="00FE795A" w:rsidRDefault="0042495A">
      <w:pPr>
        <w:spacing w:before="0" w:after="0"/>
        <w:rPr>
          <w:rFonts w:ascii="Times New Roman" w:hAnsi="Times New Roman"/>
          <w:szCs w:val="22"/>
        </w:rPr>
      </w:pPr>
    </w:p>
    <w:p w:rsidR="00F6797E" w:rsidRDefault="00F6797E" w:rsidP="00716982">
      <w:pPr>
        <w:spacing w:before="0" w:after="0"/>
        <w:jc w:val="center"/>
        <w:rPr>
          <w:rFonts w:ascii="Times New Roman" w:hAnsi="Times New Roman"/>
          <w:szCs w:val="22"/>
        </w:rPr>
      </w:pPr>
    </w:p>
    <w:p w:rsidR="00716982" w:rsidRDefault="00716982" w:rsidP="00716982">
      <w:pPr>
        <w:spacing w:before="0" w:after="0"/>
        <w:jc w:val="center"/>
        <w:rPr>
          <w:rFonts w:ascii="Times New Roman" w:hAnsi="Times New Roman"/>
          <w:szCs w:val="22"/>
        </w:rPr>
      </w:pPr>
    </w:p>
    <w:p w:rsidR="00CA0DCD" w:rsidRDefault="00CA0DCD" w:rsidP="00716982">
      <w:pPr>
        <w:spacing w:before="0" w:after="0"/>
        <w:jc w:val="center"/>
        <w:rPr>
          <w:rFonts w:ascii="Times New Roman" w:hAnsi="Times New Roman"/>
          <w:szCs w:val="22"/>
        </w:rPr>
      </w:pPr>
    </w:p>
    <w:p w:rsidR="00CA0DCD" w:rsidRDefault="00CA0DCD" w:rsidP="00716982">
      <w:pPr>
        <w:spacing w:before="0" w:after="0"/>
        <w:jc w:val="center"/>
        <w:rPr>
          <w:rFonts w:ascii="Times New Roman" w:hAnsi="Times New Roman"/>
          <w:szCs w:val="22"/>
        </w:rPr>
      </w:pPr>
    </w:p>
    <w:p w:rsidR="00CA0DCD" w:rsidRDefault="00CA0DCD" w:rsidP="00716982">
      <w:pPr>
        <w:spacing w:before="0" w:after="0"/>
        <w:jc w:val="center"/>
        <w:rPr>
          <w:rFonts w:ascii="Times New Roman" w:hAnsi="Times New Roman"/>
          <w:szCs w:val="22"/>
        </w:rPr>
      </w:pPr>
    </w:p>
    <w:p w:rsidR="00716982" w:rsidRDefault="00716982" w:rsidP="00716982">
      <w:pPr>
        <w:spacing w:before="0" w:after="0"/>
        <w:jc w:val="center"/>
        <w:rPr>
          <w:rFonts w:ascii="Times New Roman" w:hAnsi="Times New Roman"/>
          <w:szCs w:val="22"/>
        </w:rPr>
      </w:pPr>
    </w:p>
    <w:p w:rsidR="00716982" w:rsidRDefault="002A0E89" w:rsidP="00716982">
      <w:pPr>
        <w:spacing w:before="0" w:after="0"/>
        <w:jc w:val="center"/>
        <w:rPr>
          <w:rFonts w:ascii="Times New Roman" w:hAnsi="Times New Roman"/>
          <w:szCs w:val="22"/>
        </w:rPr>
      </w:pPr>
      <w:r>
        <w:rPr>
          <w:rFonts w:ascii="Times New Roman" w:hAnsi="Times New Roman"/>
          <w:szCs w:val="22"/>
        </w:rPr>
        <w:t>Oficio N° 2896, de 26</w:t>
      </w:r>
      <w:r w:rsidR="00716982">
        <w:rPr>
          <w:rFonts w:ascii="Times New Roman" w:hAnsi="Times New Roman"/>
          <w:szCs w:val="22"/>
        </w:rPr>
        <w:t>.10.2012</w:t>
      </w:r>
    </w:p>
    <w:p w:rsidR="00716982" w:rsidRDefault="00716982" w:rsidP="00716982">
      <w:pPr>
        <w:spacing w:before="0" w:after="0"/>
        <w:jc w:val="center"/>
        <w:rPr>
          <w:rFonts w:ascii="Times New Roman" w:hAnsi="Times New Roman"/>
          <w:b/>
          <w:szCs w:val="22"/>
        </w:rPr>
      </w:pPr>
      <w:r>
        <w:rPr>
          <w:rFonts w:ascii="Times New Roman" w:hAnsi="Times New Roman"/>
          <w:b/>
          <w:szCs w:val="22"/>
        </w:rPr>
        <w:t>Subdirección Normativa</w:t>
      </w:r>
    </w:p>
    <w:p w:rsidR="00716982" w:rsidRPr="00716982" w:rsidRDefault="00716982" w:rsidP="00716982">
      <w:pPr>
        <w:spacing w:before="0" w:after="0"/>
        <w:jc w:val="center"/>
        <w:rPr>
          <w:rFonts w:ascii="Times New Roman" w:hAnsi="Times New Roman"/>
          <w:szCs w:val="22"/>
        </w:rPr>
      </w:pPr>
      <w:r>
        <w:rPr>
          <w:rFonts w:ascii="Times New Roman" w:hAnsi="Times New Roman"/>
          <w:szCs w:val="22"/>
        </w:rPr>
        <w:t>Dpto. de Impuestos Directos</w:t>
      </w:r>
    </w:p>
    <w:sectPr w:rsidR="00716982" w:rsidRPr="00716982" w:rsidSect="00931282">
      <w:pgSz w:w="12242" w:h="18722" w:code="165"/>
      <w:pgMar w:top="1247" w:right="1418" w:bottom="124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0295" w:rsidRDefault="00440295" w:rsidP="000B6392">
      <w:pPr>
        <w:spacing w:before="0" w:after="0"/>
      </w:pPr>
      <w:r>
        <w:separator/>
      </w:r>
    </w:p>
  </w:endnote>
  <w:endnote w:type="continuationSeparator" w:id="0">
    <w:p w:rsidR="00440295" w:rsidRDefault="00440295" w:rsidP="000B6392">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0295" w:rsidRDefault="00440295" w:rsidP="000B6392">
      <w:pPr>
        <w:spacing w:before="0" w:after="0"/>
      </w:pPr>
      <w:r>
        <w:separator/>
      </w:r>
    </w:p>
  </w:footnote>
  <w:footnote w:type="continuationSeparator" w:id="0">
    <w:p w:rsidR="00440295" w:rsidRDefault="00440295" w:rsidP="000B6392">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27452"/>
    <w:multiLevelType w:val="hybridMultilevel"/>
    <w:tmpl w:val="32FA205A"/>
    <w:lvl w:ilvl="0" w:tplc="9B6ABBF0">
      <w:start w:val="1"/>
      <w:numFmt w:val="lowerLetter"/>
      <w:lvlText w:val="%1)"/>
      <w:lvlJc w:val="left"/>
      <w:pPr>
        <w:ind w:left="720" w:hanging="36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0D5408AC"/>
    <w:multiLevelType w:val="hybridMultilevel"/>
    <w:tmpl w:val="83F0FCF4"/>
    <w:lvl w:ilvl="0" w:tplc="D4C4FC8E">
      <w:start w:val="1"/>
      <w:numFmt w:val="lowerLetter"/>
      <w:lvlText w:val="%1)"/>
      <w:lvlJc w:val="left"/>
      <w:pPr>
        <w:ind w:left="720" w:hanging="36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42C40901"/>
    <w:multiLevelType w:val="hybridMultilevel"/>
    <w:tmpl w:val="C800305E"/>
    <w:lvl w:ilvl="0" w:tplc="88BE5BD0">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45730037"/>
    <w:multiLevelType w:val="hybridMultilevel"/>
    <w:tmpl w:val="CC7C58E8"/>
    <w:lvl w:ilvl="0" w:tplc="A62EDE82">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4C3F5671"/>
    <w:multiLevelType w:val="hybridMultilevel"/>
    <w:tmpl w:val="C136DE98"/>
    <w:lvl w:ilvl="0" w:tplc="581E04CE">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530A6091"/>
    <w:multiLevelType w:val="hybridMultilevel"/>
    <w:tmpl w:val="6A1C2B7C"/>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nsid w:val="71A63E5A"/>
    <w:multiLevelType w:val="hybridMultilevel"/>
    <w:tmpl w:val="013A79FE"/>
    <w:lvl w:ilvl="0" w:tplc="1076E33C">
      <w:start w:val="3"/>
      <w:numFmt w:val="bullet"/>
      <w:lvlText w:val="-"/>
      <w:lvlJc w:val="left"/>
      <w:pPr>
        <w:tabs>
          <w:tab w:val="num" w:pos="720"/>
        </w:tabs>
        <w:ind w:left="720" w:hanging="360"/>
      </w:pPr>
      <w:rPr>
        <w:rFonts w:ascii="Times New Roman" w:eastAsia="Times New Roman" w:hAnsi="Times New Roman" w:cs="Times New Roman" w:hint="default"/>
        <w:sz w:val="2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79B43025"/>
    <w:multiLevelType w:val="hybridMultilevel"/>
    <w:tmpl w:val="FB8A5FF8"/>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3"/>
  </w:num>
  <w:num w:numId="2">
    <w:abstractNumId w:val="4"/>
  </w:num>
  <w:num w:numId="3">
    <w:abstractNumId w:val="6"/>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drawingGridHorizontalSpacing w:val="11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562BC6"/>
    <w:rsid w:val="00090C13"/>
    <w:rsid w:val="000B6392"/>
    <w:rsid w:val="000D02E8"/>
    <w:rsid w:val="0014774C"/>
    <w:rsid w:val="00150C71"/>
    <w:rsid w:val="001A59C8"/>
    <w:rsid w:val="00243C51"/>
    <w:rsid w:val="00250FF0"/>
    <w:rsid w:val="00292BDE"/>
    <w:rsid w:val="00295BA3"/>
    <w:rsid w:val="002A0E89"/>
    <w:rsid w:val="002C02CC"/>
    <w:rsid w:val="002D40F0"/>
    <w:rsid w:val="00320C5D"/>
    <w:rsid w:val="003426F6"/>
    <w:rsid w:val="00377291"/>
    <w:rsid w:val="003B2CC9"/>
    <w:rsid w:val="003C5FCF"/>
    <w:rsid w:val="003C7C67"/>
    <w:rsid w:val="003D34DE"/>
    <w:rsid w:val="003E7E78"/>
    <w:rsid w:val="00401A44"/>
    <w:rsid w:val="00406C6C"/>
    <w:rsid w:val="0042495A"/>
    <w:rsid w:val="00440295"/>
    <w:rsid w:val="00456139"/>
    <w:rsid w:val="00465C98"/>
    <w:rsid w:val="0049352B"/>
    <w:rsid w:val="00562BC6"/>
    <w:rsid w:val="00622267"/>
    <w:rsid w:val="00655EF8"/>
    <w:rsid w:val="00667501"/>
    <w:rsid w:val="006B6F7E"/>
    <w:rsid w:val="00716982"/>
    <w:rsid w:val="00716A25"/>
    <w:rsid w:val="007A23B9"/>
    <w:rsid w:val="007B0A78"/>
    <w:rsid w:val="007B3F74"/>
    <w:rsid w:val="007C0C65"/>
    <w:rsid w:val="007D4C34"/>
    <w:rsid w:val="0080363E"/>
    <w:rsid w:val="00843564"/>
    <w:rsid w:val="00850B0C"/>
    <w:rsid w:val="00874BAA"/>
    <w:rsid w:val="008B2FDC"/>
    <w:rsid w:val="0091363E"/>
    <w:rsid w:val="00931282"/>
    <w:rsid w:val="00981438"/>
    <w:rsid w:val="00982295"/>
    <w:rsid w:val="00983B57"/>
    <w:rsid w:val="009C5264"/>
    <w:rsid w:val="00A13802"/>
    <w:rsid w:val="00A3039A"/>
    <w:rsid w:val="00A51A78"/>
    <w:rsid w:val="00A639E9"/>
    <w:rsid w:val="00A91105"/>
    <w:rsid w:val="00A912DF"/>
    <w:rsid w:val="00A9606C"/>
    <w:rsid w:val="00AE5B8C"/>
    <w:rsid w:val="00B52D54"/>
    <w:rsid w:val="00B96D3C"/>
    <w:rsid w:val="00BE3A07"/>
    <w:rsid w:val="00C501AB"/>
    <w:rsid w:val="00C6557A"/>
    <w:rsid w:val="00C67258"/>
    <w:rsid w:val="00C67E4C"/>
    <w:rsid w:val="00CA0DCD"/>
    <w:rsid w:val="00CE335F"/>
    <w:rsid w:val="00D26581"/>
    <w:rsid w:val="00DA4E84"/>
    <w:rsid w:val="00E22FC6"/>
    <w:rsid w:val="00EB14A1"/>
    <w:rsid w:val="00EE1065"/>
    <w:rsid w:val="00EF71C2"/>
    <w:rsid w:val="00F470C5"/>
    <w:rsid w:val="00F639A4"/>
    <w:rsid w:val="00F6797E"/>
    <w:rsid w:val="00FE795A"/>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2CC"/>
    <w:pPr>
      <w:spacing w:before="120" w:after="120"/>
      <w:jc w:val="both"/>
    </w:pPr>
    <w:rPr>
      <w:rFonts w:ascii="Arial" w:hAnsi="Arial"/>
      <w:sz w:val="22"/>
      <w:szCs w:val="24"/>
      <w:lang w:val="es-ES" w:eastAsia="es-ES"/>
    </w:rPr>
  </w:style>
  <w:style w:type="paragraph" w:styleId="Ttulo1">
    <w:name w:val="heading 1"/>
    <w:basedOn w:val="Normal"/>
    <w:next w:val="Normal"/>
    <w:qFormat/>
    <w:rsid w:val="002C02CC"/>
    <w:pPr>
      <w:keepNext/>
      <w:outlineLvl w:val="0"/>
    </w:pPr>
    <w:rPr>
      <w:rFonts w:cs="Arial"/>
      <w:b/>
      <w:bCs/>
    </w:rPr>
  </w:style>
  <w:style w:type="paragraph" w:styleId="Ttulo2">
    <w:name w:val="heading 2"/>
    <w:basedOn w:val="Normal"/>
    <w:next w:val="Normal"/>
    <w:qFormat/>
    <w:rsid w:val="002C02CC"/>
    <w:pPr>
      <w:keepNext/>
      <w:ind w:left="5400"/>
      <w:outlineLvl w:val="1"/>
    </w:pPr>
    <w:rPr>
      <w:rFonts w:cs="Arial"/>
      <w:b/>
      <w:bCs/>
    </w:rPr>
  </w:style>
  <w:style w:type="paragraph" w:styleId="Ttulo3">
    <w:name w:val="heading 3"/>
    <w:basedOn w:val="Normal"/>
    <w:next w:val="Normal"/>
    <w:qFormat/>
    <w:rsid w:val="002C02CC"/>
    <w:pPr>
      <w:keepNext/>
      <w:outlineLvl w:val="2"/>
    </w:pPr>
    <w:rPr>
      <w:rFonts w:cs="Arial"/>
      <w:sz w:val="20"/>
      <w:u w:val="single"/>
    </w:rPr>
  </w:style>
  <w:style w:type="paragraph" w:styleId="Ttulo4">
    <w:name w:val="heading 4"/>
    <w:basedOn w:val="Normal"/>
    <w:next w:val="Normal"/>
    <w:qFormat/>
    <w:rsid w:val="002C02CC"/>
    <w:pPr>
      <w:keepNext/>
      <w:outlineLvl w:val="3"/>
    </w:pPr>
    <w:rPr>
      <w:rFonts w:cs="Arial"/>
      <w:b/>
      <w:bCs/>
    </w:rPr>
  </w:style>
  <w:style w:type="paragraph" w:styleId="Ttulo5">
    <w:name w:val="heading 5"/>
    <w:basedOn w:val="Normal"/>
    <w:next w:val="Normal"/>
    <w:qFormat/>
    <w:rsid w:val="002C02CC"/>
    <w:pPr>
      <w:keepNext/>
      <w:ind w:left="720" w:hanging="720"/>
      <w:outlineLvl w:val="4"/>
    </w:pPr>
    <w:rPr>
      <w:rFonts w:cs="Arial"/>
      <w:b/>
      <w:bCs/>
    </w:rPr>
  </w:style>
  <w:style w:type="paragraph" w:styleId="Ttulo6">
    <w:name w:val="heading 6"/>
    <w:basedOn w:val="Normal"/>
    <w:next w:val="Normal"/>
    <w:link w:val="Ttulo6Car"/>
    <w:qFormat/>
    <w:rsid w:val="002C02CC"/>
    <w:pPr>
      <w:keepNext/>
      <w:ind w:left="3960"/>
      <w:jc w:val="center"/>
      <w:outlineLvl w:val="5"/>
    </w:pPr>
    <w:rPr>
      <w:rFonts w:cs="Arial"/>
      <w:b/>
      <w:bCs/>
    </w:rPr>
  </w:style>
  <w:style w:type="paragraph" w:styleId="Ttulo7">
    <w:name w:val="heading 7"/>
    <w:basedOn w:val="Normal"/>
    <w:next w:val="Normal"/>
    <w:qFormat/>
    <w:rsid w:val="002C02CC"/>
    <w:pPr>
      <w:keepNext/>
      <w:spacing w:before="240" w:after="0"/>
      <w:ind w:left="4797" w:hanging="839"/>
      <w:outlineLvl w:val="6"/>
    </w:pPr>
    <w:rPr>
      <w:rFonts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2C02CC"/>
    <w:pPr>
      <w:ind w:left="5400"/>
    </w:pPr>
    <w:rPr>
      <w:rFonts w:cs="Arial"/>
      <w:b/>
      <w:bCs/>
    </w:rPr>
  </w:style>
  <w:style w:type="paragraph" w:styleId="Textoindependiente">
    <w:name w:val="Body Text"/>
    <w:basedOn w:val="Normal"/>
    <w:semiHidden/>
    <w:rsid w:val="002C02CC"/>
    <w:rPr>
      <w:rFonts w:cs="Arial"/>
    </w:rPr>
  </w:style>
  <w:style w:type="paragraph" w:styleId="Sangra2detindependiente">
    <w:name w:val="Body Text Indent 2"/>
    <w:basedOn w:val="Normal"/>
    <w:semiHidden/>
    <w:rsid w:val="002C02CC"/>
    <w:pPr>
      <w:ind w:left="360"/>
    </w:pPr>
    <w:rPr>
      <w:rFonts w:cs="Arial"/>
    </w:rPr>
  </w:style>
  <w:style w:type="paragraph" w:styleId="Sangra3detindependiente">
    <w:name w:val="Body Text Indent 3"/>
    <w:basedOn w:val="Normal"/>
    <w:semiHidden/>
    <w:rsid w:val="002C02CC"/>
    <w:pPr>
      <w:ind w:left="720" w:hanging="720"/>
    </w:pPr>
    <w:rPr>
      <w:rFonts w:cs="Arial"/>
    </w:rPr>
  </w:style>
  <w:style w:type="character" w:styleId="Nmerodepgina">
    <w:name w:val="page number"/>
    <w:basedOn w:val="Fuentedeprrafopredeter"/>
    <w:semiHidden/>
    <w:rsid w:val="002C02CC"/>
  </w:style>
  <w:style w:type="paragraph" w:styleId="Textonotapie">
    <w:name w:val="footnote text"/>
    <w:basedOn w:val="Normal"/>
    <w:link w:val="TextonotapieCar"/>
    <w:uiPriority w:val="99"/>
    <w:semiHidden/>
    <w:unhideWhenUsed/>
    <w:rsid w:val="000B6392"/>
    <w:rPr>
      <w:sz w:val="20"/>
      <w:szCs w:val="20"/>
    </w:rPr>
  </w:style>
  <w:style w:type="character" w:customStyle="1" w:styleId="TextonotapieCar">
    <w:name w:val="Texto nota pie Car"/>
    <w:basedOn w:val="Fuentedeprrafopredeter"/>
    <w:link w:val="Textonotapie"/>
    <w:uiPriority w:val="99"/>
    <w:semiHidden/>
    <w:rsid w:val="000B6392"/>
    <w:rPr>
      <w:rFonts w:ascii="Arial" w:hAnsi="Arial"/>
      <w:lang w:val="es-ES" w:eastAsia="es-ES"/>
    </w:rPr>
  </w:style>
  <w:style w:type="character" w:styleId="Refdenotaalpie">
    <w:name w:val="footnote reference"/>
    <w:basedOn w:val="Fuentedeprrafopredeter"/>
    <w:uiPriority w:val="99"/>
    <w:semiHidden/>
    <w:unhideWhenUsed/>
    <w:rsid w:val="000B6392"/>
    <w:rPr>
      <w:vertAlign w:val="superscript"/>
    </w:rPr>
  </w:style>
  <w:style w:type="character" w:customStyle="1" w:styleId="Ttulo6Car">
    <w:name w:val="Título 6 Car"/>
    <w:basedOn w:val="Fuentedeprrafopredeter"/>
    <w:link w:val="Ttulo6"/>
    <w:rsid w:val="00C6557A"/>
    <w:rPr>
      <w:rFonts w:ascii="Arial" w:hAnsi="Arial" w:cs="Arial"/>
      <w:b/>
      <w:bCs/>
      <w:sz w:val="22"/>
      <w:szCs w:val="24"/>
      <w:lang w:val="es-ES" w:eastAsia="es-ES"/>
    </w:rPr>
  </w:style>
  <w:style w:type="paragraph" w:styleId="Prrafodelista">
    <w:name w:val="List Paragraph"/>
    <w:basedOn w:val="Normal"/>
    <w:uiPriority w:val="34"/>
    <w:qFormat/>
    <w:rsid w:val="00C6557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gloria.flores\Mis%20documentos\1.%20GLORIA\1.%20DOCUMENTOS%20NORMATIVA\formatos\2.-%20Proyecto%20de%20Ofici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0BDB3-C491-4E91-9EDC-829191957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 Proyecto de Oficio.dot</Template>
  <TotalTime>5</TotalTime>
  <Pages>2</Pages>
  <Words>1296</Words>
  <Characters>7132</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SERVICIO DE IMPUESTOS INTERNOS</vt:lpstr>
    </vt:vector>
  </TitlesOfParts>
  <Company>Servicio de Impuestos Internos</Company>
  <LinksUpToDate>false</LinksUpToDate>
  <CharactersWithSpaces>8412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IMPUESTOS INTERNOS</dc:title>
  <dc:subject/>
  <dc:creator>Gloria Flores Duran</dc:creator>
  <cp:keywords/>
  <dc:description/>
  <cp:lastModifiedBy>Simón Ramirez</cp:lastModifiedBy>
  <cp:revision>4</cp:revision>
  <cp:lastPrinted>2006-06-21T13:46:00Z</cp:lastPrinted>
  <dcterms:created xsi:type="dcterms:W3CDTF">2012-10-26T19:17:00Z</dcterms:created>
  <dcterms:modified xsi:type="dcterms:W3CDTF">2012-10-26T19:24:00Z</dcterms:modified>
</cp:coreProperties>
</file>