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EE" w:rsidRDefault="008741EE" w:rsidP="00CD2CE3">
      <w:pPr>
        <w:pStyle w:val="Sangra3detindependiente"/>
        <w:ind w:left="0" w:firstLine="0"/>
        <w:jc w:val="both"/>
        <w:rPr>
          <w:rFonts w:ascii="Times New Roman" w:hAnsi="Times New Roman" w:cs="Times New Roman"/>
          <w:b/>
          <w:szCs w:val="22"/>
        </w:rPr>
      </w:pPr>
    </w:p>
    <w:p w:rsidR="008741EE" w:rsidRDefault="008741EE" w:rsidP="008741EE">
      <w:pPr>
        <w:contextualSpacing/>
        <w:jc w:val="center"/>
        <w:rPr>
          <w:b/>
          <w:sz w:val="22"/>
          <w:szCs w:val="22"/>
        </w:rPr>
      </w:pPr>
      <w:r w:rsidRPr="008741EE">
        <w:rPr>
          <w:b/>
          <w:sz w:val="22"/>
          <w:szCs w:val="22"/>
        </w:rPr>
        <w:t>RENTA – ACTUAL LEY SOBRE IMPUESTO A LA – ART. 107°  – CIRCULAR N° 7, DE 2002 – OFICIO N° 764, DE 2006. (ORD. N° 2922, DE 29.10.2012)</w:t>
      </w:r>
    </w:p>
    <w:p w:rsidR="008741EE" w:rsidRPr="008741EE" w:rsidRDefault="008741EE" w:rsidP="008741EE">
      <w:pPr>
        <w:contextualSpacing/>
        <w:jc w:val="cente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731226" w:rsidRPr="00E9399D" w:rsidRDefault="00CD039F" w:rsidP="00CD2CE3">
      <w:pPr>
        <w:pStyle w:val="Sangra3detindependiente"/>
        <w:ind w:left="0" w:firstLine="0"/>
        <w:jc w:val="both"/>
        <w:rPr>
          <w:rFonts w:ascii="Times New Roman" w:hAnsi="Times New Roman" w:cs="Times New Roman"/>
          <w:b/>
          <w:szCs w:val="22"/>
        </w:rPr>
      </w:pPr>
      <w:r w:rsidRPr="00E9399D">
        <w:rPr>
          <w:rFonts w:ascii="Times New Roman" w:hAnsi="Times New Roman" w:cs="Times New Roman"/>
          <w:b/>
          <w:szCs w:val="22"/>
        </w:rPr>
        <w:t>Tratamiento tributario del mayor valor obtenido en la venta de acciones</w:t>
      </w:r>
      <w:r w:rsidR="004C3BF8" w:rsidRPr="00E9399D">
        <w:rPr>
          <w:rFonts w:ascii="Times New Roman" w:hAnsi="Times New Roman" w:cs="Times New Roman"/>
          <w:b/>
          <w:szCs w:val="22"/>
        </w:rPr>
        <w:t>,</w:t>
      </w:r>
      <w:r w:rsidRPr="00E9399D">
        <w:rPr>
          <w:rFonts w:ascii="Times New Roman" w:hAnsi="Times New Roman" w:cs="Times New Roman"/>
          <w:b/>
          <w:szCs w:val="22"/>
        </w:rPr>
        <w:t xml:space="preserve"> </w:t>
      </w:r>
      <w:r w:rsidR="005026B7" w:rsidRPr="00E9399D">
        <w:rPr>
          <w:rFonts w:ascii="Times New Roman" w:hAnsi="Times New Roman" w:cs="Times New Roman"/>
          <w:b/>
          <w:szCs w:val="22"/>
        </w:rPr>
        <w:t xml:space="preserve">provenientes </w:t>
      </w:r>
      <w:r w:rsidRPr="00E9399D">
        <w:rPr>
          <w:rFonts w:ascii="Times New Roman" w:hAnsi="Times New Roman" w:cs="Times New Roman"/>
          <w:b/>
          <w:szCs w:val="22"/>
        </w:rPr>
        <w:t xml:space="preserve">de un canje de </w:t>
      </w:r>
      <w:r w:rsidR="004F306E" w:rsidRPr="00E9399D">
        <w:rPr>
          <w:rFonts w:ascii="Times New Roman" w:hAnsi="Times New Roman" w:cs="Times New Roman"/>
          <w:b/>
          <w:szCs w:val="22"/>
        </w:rPr>
        <w:t>American Depositary Receipts (ADRs)</w:t>
      </w:r>
      <w:r w:rsidR="00731226" w:rsidRPr="00E9399D">
        <w:rPr>
          <w:rFonts w:ascii="Times New Roman" w:hAnsi="Times New Roman" w:cs="Times New Roman"/>
          <w:b/>
          <w:szCs w:val="22"/>
        </w:rPr>
        <w:t>.</w:t>
      </w:r>
    </w:p>
    <w:p w:rsidR="00731226" w:rsidRPr="00CD2CE3" w:rsidRDefault="00EF345A">
      <w:pPr>
        <w:ind w:left="4860" w:hanging="900"/>
        <w:rPr>
          <w:sz w:val="22"/>
          <w:szCs w:val="22"/>
        </w:rPr>
      </w:pPr>
      <w:r w:rsidRPr="00CD2CE3">
        <w:rPr>
          <w:sz w:val="22"/>
          <w:szCs w:val="22"/>
        </w:rPr>
        <w:tab/>
      </w:r>
    </w:p>
    <w:p w:rsidR="00814942" w:rsidRPr="00CD2CE3" w:rsidRDefault="00814942" w:rsidP="00CD039F">
      <w:pPr>
        <w:pStyle w:val="Sangra2detindependiente"/>
        <w:ind w:left="0" w:firstLine="0"/>
        <w:rPr>
          <w:rFonts w:ascii="Times New Roman" w:hAnsi="Times New Roman" w:cs="Times New Roman"/>
          <w:szCs w:val="22"/>
        </w:rPr>
      </w:pPr>
    </w:p>
    <w:p w:rsidR="00AF6958" w:rsidRPr="00CD2CE3" w:rsidRDefault="00AF6958">
      <w:pPr>
        <w:autoSpaceDE w:val="0"/>
        <w:autoSpaceDN w:val="0"/>
        <w:adjustRightInd w:val="0"/>
        <w:ind w:left="539" w:hanging="539"/>
        <w:jc w:val="both"/>
        <w:rPr>
          <w:b/>
          <w:sz w:val="22"/>
          <w:szCs w:val="22"/>
        </w:rPr>
      </w:pPr>
      <w:r w:rsidRPr="00CD2CE3">
        <w:rPr>
          <w:b/>
          <w:sz w:val="22"/>
          <w:szCs w:val="22"/>
        </w:rPr>
        <w:t>I</w:t>
      </w:r>
      <w:r w:rsidR="00731226" w:rsidRPr="00CD2CE3">
        <w:rPr>
          <w:b/>
          <w:sz w:val="22"/>
          <w:szCs w:val="22"/>
        </w:rPr>
        <w:t>.-</w:t>
      </w:r>
      <w:r w:rsidR="00814942" w:rsidRPr="00CD2CE3">
        <w:rPr>
          <w:b/>
          <w:sz w:val="22"/>
          <w:szCs w:val="22"/>
        </w:rPr>
        <w:t xml:space="preserve"> </w:t>
      </w:r>
      <w:r w:rsidRPr="00CD2CE3">
        <w:rPr>
          <w:b/>
          <w:sz w:val="22"/>
          <w:szCs w:val="22"/>
        </w:rPr>
        <w:t>ANTECEDENTES.</w:t>
      </w:r>
    </w:p>
    <w:p w:rsidR="00AF6958" w:rsidRPr="00CD2CE3" w:rsidRDefault="00AF6958">
      <w:pPr>
        <w:autoSpaceDE w:val="0"/>
        <w:autoSpaceDN w:val="0"/>
        <w:adjustRightInd w:val="0"/>
        <w:ind w:left="539" w:hanging="539"/>
        <w:jc w:val="both"/>
        <w:rPr>
          <w:sz w:val="22"/>
          <w:szCs w:val="22"/>
        </w:rPr>
      </w:pPr>
    </w:p>
    <w:p w:rsidR="00FB2F33" w:rsidRPr="00CD2CE3" w:rsidRDefault="00D744EE" w:rsidP="009962C1">
      <w:pPr>
        <w:autoSpaceDE w:val="0"/>
        <w:autoSpaceDN w:val="0"/>
        <w:adjustRightInd w:val="0"/>
        <w:jc w:val="both"/>
        <w:rPr>
          <w:sz w:val="22"/>
          <w:szCs w:val="22"/>
        </w:rPr>
      </w:pPr>
      <w:r w:rsidRPr="00CD2CE3">
        <w:rPr>
          <w:sz w:val="22"/>
          <w:szCs w:val="22"/>
        </w:rPr>
        <w:t xml:space="preserve">Un </w:t>
      </w:r>
      <w:r w:rsidR="000E2549" w:rsidRPr="00CD2CE3">
        <w:rPr>
          <w:sz w:val="22"/>
          <w:szCs w:val="22"/>
        </w:rPr>
        <w:t>Banco</w:t>
      </w:r>
      <w:r w:rsidRPr="00CD2CE3">
        <w:rPr>
          <w:sz w:val="22"/>
          <w:szCs w:val="22"/>
        </w:rPr>
        <w:t xml:space="preserve"> chileno, que </w:t>
      </w:r>
      <w:r w:rsidR="000E2549" w:rsidRPr="00CD2CE3">
        <w:rPr>
          <w:sz w:val="22"/>
          <w:szCs w:val="22"/>
        </w:rPr>
        <w:t>actúa como custodio de inversionistas extranjeros</w:t>
      </w:r>
      <w:r w:rsidR="008A7558" w:rsidRPr="00CD2CE3">
        <w:rPr>
          <w:sz w:val="22"/>
          <w:szCs w:val="22"/>
        </w:rPr>
        <w:t>,</w:t>
      </w:r>
      <w:r w:rsidR="000E2549" w:rsidRPr="00CD2CE3">
        <w:rPr>
          <w:sz w:val="22"/>
          <w:szCs w:val="22"/>
        </w:rPr>
        <w:t xml:space="preserve"> sin dom</w:t>
      </w:r>
      <w:r w:rsidR="008A7558" w:rsidRPr="00CD2CE3">
        <w:rPr>
          <w:sz w:val="22"/>
          <w:szCs w:val="22"/>
        </w:rPr>
        <w:t>i</w:t>
      </w:r>
      <w:r w:rsidR="000E2549" w:rsidRPr="00CD2CE3">
        <w:rPr>
          <w:sz w:val="22"/>
          <w:szCs w:val="22"/>
        </w:rPr>
        <w:t xml:space="preserve">cilio ni residencia en Chile, </w:t>
      </w:r>
      <w:r w:rsidR="009E66F9" w:rsidRPr="00CD2CE3">
        <w:rPr>
          <w:sz w:val="22"/>
          <w:szCs w:val="22"/>
        </w:rPr>
        <w:t xml:space="preserve">de </w:t>
      </w:r>
      <w:r w:rsidR="009423FA" w:rsidRPr="00CD2CE3">
        <w:rPr>
          <w:sz w:val="22"/>
          <w:szCs w:val="22"/>
        </w:rPr>
        <w:t>aquellos</w:t>
      </w:r>
      <w:r w:rsidR="009E66F9" w:rsidRPr="00CD2CE3">
        <w:rPr>
          <w:sz w:val="22"/>
          <w:szCs w:val="22"/>
        </w:rPr>
        <w:t xml:space="preserve"> </w:t>
      </w:r>
      <w:r w:rsidR="000E2549" w:rsidRPr="00CD2CE3">
        <w:rPr>
          <w:sz w:val="22"/>
          <w:szCs w:val="22"/>
        </w:rPr>
        <w:t xml:space="preserve">señalados en la </w:t>
      </w:r>
      <w:r w:rsidR="00294CFB" w:rsidRPr="00CD2CE3">
        <w:rPr>
          <w:sz w:val="22"/>
          <w:szCs w:val="22"/>
        </w:rPr>
        <w:t>R</w:t>
      </w:r>
      <w:r w:rsidR="000E2549" w:rsidRPr="00CD2CE3">
        <w:rPr>
          <w:sz w:val="22"/>
          <w:szCs w:val="22"/>
        </w:rPr>
        <w:t xml:space="preserve">esolución N°36, </w:t>
      </w:r>
      <w:r w:rsidR="007845D7" w:rsidRPr="00CD2CE3">
        <w:rPr>
          <w:sz w:val="22"/>
          <w:szCs w:val="22"/>
        </w:rPr>
        <w:t>de 2011</w:t>
      </w:r>
      <w:r w:rsidR="007845D7" w:rsidRPr="00CD2CE3">
        <w:rPr>
          <w:rStyle w:val="Refdenotaalpie"/>
          <w:sz w:val="22"/>
          <w:szCs w:val="22"/>
        </w:rPr>
        <w:footnoteReference w:id="1"/>
      </w:r>
      <w:r w:rsidRPr="00CD2CE3">
        <w:rPr>
          <w:sz w:val="22"/>
          <w:szCs w:val="22"/>
        </w:rPr>
        <w:t>, solicita confirmar el criterio señalado en Oficio N° 764, de 11.07.2006, de la Dirección de Grandes Contribuyentes</w:t>
      </w:r>
      <w:r w:rsidR="002F3E1C" w:rsidRPr="00CD2CE3">
        <w:rPr>
          <w:sz w:val="22"/>
          <w:szCs w:val="22"/>
        </w:rPr>
        <w:t>, en relación al tratamiento tributario del mayor valor obtenido por estos inversionistas</w:t>
      </w:r>
      <w:r w:rsidR="00FB2F33" w:rsidRPr="00CD2CE3">
        <w:rPr>
          <w:sz w:val="22"/>
          <w:szCs w:val="22"/>
        </w:rPr>
        <w:t xml:space="preserve">, en la venta de acciones provenientes de un canje de ADRs por acciones (Flowback). </w:t>
      </w:r>
      <w:r w:rsidR="009423FA" w:rsidRPr="00CD2CE3">
        <w:rPr>
          <w:sz w:val="22"/>
          <w:szCs w:val="22"/>
        </w:rPr>
        <w:t>Al respecto e</w:t>
      </w:r>
      <w:r w:rsidR="00FB2F33" w:rsidRPr="00CD2CE3">
        <w:rPr>
          <w:sz w:val="22"/>
          <w:szCs w:val="22"/>
        </w:rPr>
        <w:t>xpresa que dicha utilidad es no tributable, con ningún impuesto, en la medida que dichas acciones tengan presencia bursátil.</w:t>
      </w:r>
    </w:p>
    <w:p w:rsidR="00FB2F33" w:rsidRPr="00CD2CE3" w:rsidRDefault="00FB2F33" w:rsidP="009962C1">
      <w:pPr>
        <w:autoSpaceDE w:val="0"/>
        <w:autoSpaceDN w:val="0"/>
        <w:adjustRightInd w:val="0"/>
        <w:jc w:val="both"/>
        <w:rPr>
          <w:sz w:val="22"/>
          <w:szCs w:val="22"/>
        </w:rPr>
      </w:pPr>
    </w:p>
    <w:p w:rsidR="000E2549" w:rsidRPr="00CD2CE3" w:rsidRDefault="00FB2F33" w:rsidP="009962C1">
      <w:pPr>
        <w:autoSpaceDE w:val="0"/>
        <w:autoSpaceDN w:val="0"/>
        <w:adjustRightInd w:val="0"/>
        <w:jc w:val="both"/>
        <w:rPr>
          <w:sz w:val="22"/>
          <w:szCs w:val="22"/>
        </w:rPr>
      </w:pPr>
      <w:r w:rsidRPr="00CD2CE3">
        <w:rPr>
          <w:sz w:val="22"/>
          <w:szCs w:val="22"/>
        </w:rPr>
        <w:t>Formula la consulta en consideración a que dichos inversionistas les han consultado sobre dicho cri</w:t>
      </w:r>
      <w:r w:rsidR="006518DD" w:rsidRPr="00CD2CE3">
        <w:rPr>
          <w:sz w:val="22"/>
          <w:szCs w:val="22"/>
        </w:rPr>
        <w:t>terio</w:t>
      </w:r>
      <w:r w:rsidRPr="00CD2CE3">
        <w:rPr>
          <w:sz w:val="22"/>
          <w:szCs w:val="22"/>
        </w:rPr>
        <w:t xml:space="preserve">, a raíz de la derogación del artículo 18 ter y la creación del artículo 107, ambos de la </w:t>
      </w:r>
      <w:r w:rsidR="006518DD" w:rsidRPr="00CD2CE3">
        <w:rPr>
          <w:sz w:val="22"/>
          <w:szCs w:val="22"/>
        </w:rPr>
        <w:t>Ley sobre Impuesto a la Renta (LIR).</w:t>
      </w:r>
    </w:p>
    <w:p w:rsidR="00D84880" w:rsidRPr="00CD2CE3" w:rsidRDefault="00D84880" w:rsidP="00D84880">
      <w:pPr>
        <w:tabs>
          <w:tab w:val="left" w:pos="0"/>
        </w:tabs>
        <w:jc w:val="both"/>
        <w:rPr>
          <w:spacing w:val="-3"/>
          <w:sz w:val="22"/>
          <w:szCs w:val="22"/>
        </w:rPr>
      </w:pPr>
    </w:p>
    <w:p w:rsidR="00AF6958" w:rsidRPr="00CD2CE3" w:rsidRDefault="00AF6958">
      <w:pPr>
        <w:tabs>
          <w:tab w:val="left" w:pos="0"/>
        </w:tabs>
        <w:ind w:left="539" w:hanging="539"/>
        <w:jc w:val="both"/>
        <w:rPr>
          <w:b/>
          <w:sz w:val="22"/>
          <w:szCs w:val="22"/>
        </w:rPr>
      </w:pPr>
      <w:r w:rsidRPr="00CD2CE3">
        <w:rPr>
          <w:b/>
          <w:sz w:val="22"/>
          <w:szCs w:val="22"/>
        </w:rPr>
        <w:t>II</w:t>
      </w:r>
      <w:r w:rsidR="00731226" w:rsidRPr="00CD2CE3">
        <w:rPr>
          <w:b/>
          <w:sz w:val="22"/>
          <w:szCs w:val="22"/>
        </w:rPr>
        <w:t xml:space="preserve">.- </w:t>
      </w:r>
      <w:r w:rsidR="00231C23" w:rsidRPr="00CD2CE3">
        <w:rPr>
          <w:b/>
          <w:sz w:val="22"/>
          <w:szCs w:val="22"/>
        </w:rPr>
        <w:t xml:space="preserve"> </w:t>
      </w:r>
      <w:r w:rsidRPr="00CD2CE3">
        <w:rPr>
          <w:b/>
          <w:sz w:val="22"/>
          <w:szCs w:val="22"/>
        </w:rPr>
        <w:t>ANÁLISIS.</w:t>
      </w:r>
    </w:p>
    <w:p w:rsidR="000502DA" w:rsidRPr="00CD2CE3" w:rsidRDefault="000502DA" w:rsidP="00A3411B">
      <w:pPr>
        <w:jc w:val="both"/>
        <w:rPr>
          <w:sz w:val="22"/>
          <w:szCs w:val="22"/>
        </w:rPr>
      </w:pPr>
    </w:p>
    <w:p w:rsidR="006518DD" w:rsidRPr="00CD2CE3" w:rsidRDefault="006518DD" w:rsidP="006518DD">
      <w:pPr>
        <w:autoSpaceDE w:val="0"/>
        <w:autoSpaceDN w:val="0"/>
        <w:adjustRightInd w:val="0"/>
        <w:jc w:val="both"/>
        <w:rPr>
          <w:sz w:val="22"/>
          <w:szCs w:val="22"/>
        </w:rPr>
      </w:pPr>
      <w:r w:rsidRPr="00CD2CE3">
        <w:rPr>
          <w:sz w:val="22"/>
          <w:szCs w:val="22"/>
        </w:rPr>
        <w:t>El artículo 18 ter de la LIR, establecía que</w:t>
      </w:r>
      <w:r w:rsidR="003466A3" w:rsidRPr="00CD2CE3">
        <w:rPr>
          <w:sz w:val="22"/>
          <w:szCs w:val="22"/>
        </w:rPr>
        <w:t>,</w:t>
      </w:r>
      <w:r w:rsidRPr="00CD2CE3">
        <w:rPr>
          <w:sz w:val="22"/>
          <w:szCs w:val="22"/>
        </w:rPr>
        <w:t xml:space="preserve"> no se gravará con los impuesto</w:t>
      </w:r>
      <w:r w:rsidR="00854B05" w:rsidRPr="00CD2CE3">
        <w:rPr>
          <w:sz w:val="22"/>
          <w:szCs w:val="22"/>
        </w:rPr>
        <w:t>s</w:t>
      </w:r>
      <w:r w:rsidRPr="00CD2CE3">
        <w:rPr>
          <w:sz w:val="22"/>
          <w:szCs w:val="22"/>
        </w:rPr>
        <w:t xml:space="preserve"> de </w:t>
      </w:r>
      <w:r w:rsidR="0007009B" w:rsidRPr="00CD2CE3">
        <w:rPr>
          <w:sz w:val="22"/>
          <w:szCs w:val="22"/>
        </w:rPr>
        <w:t xml:space="preserve">esta ley, ni se declarará, </w:t>
      </w:r>
      <w:r w:rsidRPr="00CD2CE3">
        <w:rPr>
          <w:sz w:val="22"/>
          <w:szCs w:val="22"/>
        </w:rPr>
        <w:t>el mayor valor obtenido en la enajenación de acciones emitidas por sociedades anónimas abiertas con presencia bursátil</w:t>
      </w:r>
      <w:r w:rsidR="003466A3" w:rsidRPr="00CD2CE3">
        <w:rPr>
          <w:sz w:val="22"/>
          <w:szCs w:val="22"/>
        </w:rPr>
        <w:t>. Seguidamente la referida norma legal establecía otros requisitos para que operara dicha liberación</w:t>
      </w:r>
      <w:r w:rsidRPr="00CD2CE3">
        <w:rPr>
          <w:rStyle w:val="Refdenotaalpie"/>
          <w:sz w:val="22"/>
          <w:szCs w:val="22"/>
        </w:rPr>
        <w:footnoteReference w:id="2"/>
      </w:r>
      <w:r w:rsidRPr="00CD2CE3">
        <w:rPr>
          <w:sz w:val="22"/>
          <w:szCs w:val="22"/>
        </w:rPr>
        <w:t xml:space="preserve">. </w:t>
      </w:r>
    </w:p>
    <w:p w:rsidR="006518DD" w:rsidRPr="00CD2CE3" w:rsidRDefault="006518DD" w:rsidP="006518DD">
      <w:pPr>
        <w:autoSpaceDE w:val="0"/>
        <w:autoSpaceDN w:val="0"/>
        <w:adjustRightInd w:val="0"/>
        <w:jc w:val="both"/>
        <w:rPr>
          <w:sz w:val="22"/>
          <w:szCs w:val="22"/>
        </w:rPr>
      </w:pPr>
    </w:p>
    <w:p w:rsidR="00C30FB8" w:rsidRPr="00CD2CE3" w:rsidRDefault="006518DD" w:rsidP="006518DD">
      <w:pPr>
        <w:autoSpaceDE w:val="0"/>
        <w:autoSpaceDN w:val="0"/>
        <w:adjustRightInd w:val="0"/>
        <w:jc w:val="both"/>
        <w:rPr>
          <w:sz w:val="22"/>
          <w:szCs w:val="22"/>
          <w:lang w:val="es-CL" w:eastAsia="es-CL"/>
        </w:rPr>
      </w:pPr>
      <w:r w:rsidRPr="00CD2CE3">
        <w:rPr>
          <w:sz w:val="22"/>
          <w:szCs w:val="22"/>
        </w:rPr>
        <w:t>L</w:t>
      </w:r>
      <w:r w:rsidRPr="00CD2CE3">
        <w:rPr>
          <w:sz w:val="22"/>
          <w:szCs w:val="22"/>
          <w:lang w:val="es-CL" w:eastAsia="es-CL"/>
        </w:rPr>
        <w:t>a Ley 20.448</w:t>
      </w:r>
      <w:r w:rsidR="00854B05" w:rsidRPr="00CD2CE3">
        <w:rPr>
          <w:rStyle w:val="Refdenotaalpie"/>
          <w:sz w:val="22"/>
          <w:szCs w:val="22"/>
          <w:lang w:val="es-CL" w:eastAsia="es-CL"/>
        </w:rPr>
        <w:footnoteReference w:id="3"/>
      </w:r>
      <w:r w:rsidRPr="00CD2CE3">
        <w:rPr>
          <w:sz w:val="22"/>
          <w:szCs w:val="22"/>
        </w:rPr>
        <w:t xml:space="preserve">, </w:t>
      </w:r>
      <w:r w:rsidR="00854B05" w:rsidRPr="00CD2CE3">
        <w:rPr>
          <w:sz w:val="22"/>
          <w:szCs w:val="22"/>
        </w:rPr>
        <w:t xml:space="preserve">junto con derogar el artículo 18 ter, </w:t>
      </w:r>
      <w:r w:rsidRPr="00CD2CE3">
        <w:rPr>
          <w:sz w:val="22"/>
          <w:szCs w:val="22"/>
        </w:rPr>
        <w:t xml:space="preserve">incorporó a la LIR el artículo 107, que en lo sustancial conserva el citado tratamiento tributario. </w:t>
      </w:r>
      <w:r w:rsidR="00DE6AAC" w:rsidRPr="00CD2CE3">
        <w:rPr>
          <w:sz w:val="22"/>
          <w:szCs w:val="22"/>
        </w:rPr>
        <w:t>Posteriormente</w:t>
      </w:r>
      <w:r w:rsidRPr="00CD2CE3">
        <w:rPr>
          <w:sz w:val="22"/>
          <w:szCs w:val="22"/>
          <w:lang w:val="es-CL" w:eastAsia="es-CL"/>
        </w:rPr>
        <w:t>, la Ley N° 20.466</w:t>
      </w:r>
      <w:r w:rsidRPr="00CD2CE3">
        <w:rPr>
          <w:rStyle w:val="Refdenotaalpie"/>
          <w:sz w:val="22"/>
          <w:szCs w:val="22"/>
          <w:lang w:val="es-CL" w:eastAsia="es-CL"/>
        </w:rPr>
        <w:footnoteReference w:id="4"/>
      </w:r>
      <w:r w:rsidRPr="00CD2CE3">
        <w:rPr>
          <w:sz w:val="22"/>
          <w:szCs w:val="22"/>
          <w:lang w:val="es-CL" w:eastAsia="es-CL"/>
        </w:rPr>
        <w:t xml:space="preserve">, </w:t>
      </w:r>
      <w:r w:rsidR="00C30FB8" w:rsidRPr="00CD2CE3">
        <w:rPr>
          <w:sz w:val="22"/>
          <w:szCs w:val="22"/>
          <w:lang w:val="es-CL" w:eastAsia="es-CL"/>
        </w:rPr>
        <w:t>estableció</w:t>
      </w:r>
      <w:r w:rsidRPr="00CD2CE3">
        <w:rPr>
          <w:sz w:val="22"/>
          <w:szCs w:val="22"/>
          <w:lang w:val="es-CL" w:eastAsia="es-CL"/>
        </w:rPr>
        <w:t xml:space="preserve"> que cualquier referencia que en las leyes se haga al derogado artículo 18 ter, debe entenderse efectuada al artículo 107, de la LIR. </w:t>
      </w:r>
    </w:p>
    <w:p w:rsidR="00C30FB8" w:rsidRPr="00CD2CE3" w:rsidRDefault="00C30FB8" w:rsidP="006518DD">
      <w:pPr>
        <w:autoSpaceDE w:val="0"/>
        <w:autoSpaceDN w:val="0"/>
        <w:adjustRightInd w:val="0"/>
        <w:jc w:val="both"/>
        <w:rPr>
          <w:sz w:val="22"/>
          <w:szCs w:val="22"/>
          <w:lang w:val="es-CL" w:eastAsia="es-CL"/>
        </w:rPr>
      </w:pPr>
    </w:p>
    <w:p w:rsidR="00411605" w:rsidRPr="00CD2CE3" w:rsidRDefault="00220A55" w:rsidP="00740AB4">
      <w:pPr>
        <w:jc w:val="both"/>
        <w:rPr>
          <w:sz w:val="22"/>
          <w:szCs w:val="22"/>
        </w:rPr>
      </w:pPr>
      <w:r w:rsidRPr="00CD2CE3">
        <w:rPr>
          <w:sz w:val="22"/>
          <w:szCs w:val="22"/>
          <w:lang w:val="es-CL" w:eastAsia="es-CL"/>
        </w:rPr>
        <w:t xml:space="preserve">Este Servicio, </w:t>
      </w:r>
      <w:r w:rsidR="003C1B27" w:rsidRPr="00CD2CE3">
        <w:rPr>
          <w:sz w:val="22"/>
          <w:szCs w:val="22"/>
          <w:lang w:val="es-CL" w:eastAsia="es-CL"/>
        </w:rPr>
        <w:t>en relación con la aplicación de las disposiciones del derogado artículo 18 ter</w:t>
      </w:r>
      <w:r w:rsidR="00C81B33" w:rsidRPr="00CD2CE3">
        <w:rPr>
          <w:sz w:val="22"/>
          <w:szCs w:val="22"/>
          <w:lang w:val="es-CL" w:eastAsia="es-CL"/>
        </w:rPr>
        <w:t>,</w:t>
      </w:r>
      <w:r w:rsidR="003C1B27" w:rsidRPr="00CD2CE3">
        <w:rPr>
          <w:sz w:val="22"/>
          <w:szCs w:val="22"/>
          <w:lang w:val="es-CL" w:eastAsia="es-CL"/>
        </w:rPr>
        <w:t xml:space="preserve"> de la LIR, dictaminó </w:t>
      </w:r>
      <w:r w:rsidRPr="00CD2CE3">
        <w:rPr>
          <w:sz w:val="22"/>
          <w:szCs w:val="22"/>
          <w:lang w:val="es-CL" w:eastAsia="es-CL"/>
        </w:rPr>
        <w:t>a través de su jurisprudencia</w:t>
      </w:r>
      <w:r w:rsidR="00C64406" w:rsidRPr="00CD2CE3">
        <w:rPr>
          <w:rStyle w:val="Refdenotaalpie"/>
          <w:sz w:val="22"/>
          <w:szCs w:val="22"/>
          <w:lang w:val="es-CL" w:eastAsia="es-CL"/>
        </w:rPr>
        <w:footnoteReference w:id="5"/>
      </w:r>
      <w:r w:rsidR="00740AB4" w:rsidRPr="00CD2CE3">
        <w:rPr>
          <w:sz w:val="22"/>
          <w:szCs w:val="22"/>
          <w:lang w:val="es-CL" w:eastAsia="es-CL"/>
        </w:rPr>
        <w:t xml:space="preserve">, </w:t>
      </w:r>
      <w:r w:rsidR="00411605" w:rsidRPr="00CD2CE3">
        <w:rPr>
          <w:sz w:val="22"/>
          <w:szCs w:val="22"/>
        </w:rPr>
        <w:t>que el mayor valor en la venta de acciones provenientes de un canje de ADR por acciones, puede acogerse al beneficio tributario dispuesto en el artículo 18 ter, en el caso que el ADR que las representa haya sido adquirido en una bolsa de valores o en otra de las circunstancias que dicha disposición legal establece, y siempre que se cumplan los demás requisitos legales, respecto de los cuales el Servicio impartió las instrucciones correspondientes en la Circular N° 7, del año 2002.</w:t>
      </w:r>
      <w:r w:rsidR="00740AB4" w:rsidRPr="00CD2CE3">
        <w:rPr>
          <w:sz w:val="22"/>
          <w:szCs w:val="22"/>
        </w:rPr>
        <w:t xml:space="preserve"> Dicho dictamen fue recogido y repetido por la Dirección de Grandes Contribuyentes, en el Oficio N°</w:t>
      </w:r>
      <w:r w:rsidR="00C81B33" w:rsidRPr="00CD2CE3">
        <w:rPr>
          <w:sz w:val="22"/>
          <w:szCs w:val="22"/>
        </w:rPr>
        <w:t xml:space="preserve"> </w:t>
      </w:r>
      <w:r w:rsidR="00740AB4" w:rsidRPr="00CD2CE3">
        <w:rPr>
          <w:sz w:val="22"/>
          <w:szCs w:val="22"/>
        </w:rPr>
        <w:t>764, de 11.07.2006, al que se refiere en su presentación.</w:t>
      </w:r>
    </w:p>
    <w:p w:rsidR="006518DD" w:rsidRPr="00CD2CE3" w:rsidRDefault="006518DD" w:rsidP="00740AB4">
      <w:pPr>
        <w:autoSpaceDE w:val="0"/>
        <w:autoSpaceDN w:val="0"/>
        <w:adjustRightInd w:val="0"/>
        <w:jc w:val="both"/>
        <w:rPr>
          <w:sz w:val="22"/>
          <w:szCs w:val="22"/>
        </w:rPr>
      </w:pPr>
    </w:p>
    <w:p w:rsidR="00E20299" w:rsidRPr="00CD2CE3" w:rsidRDefault="00393301" w:rsidP="005B7EC9">
      <w:pPr>
        <w:autoSpaceDE w:val="0"/>
        <w:autoSpaceDN w:val="0"/>
        <w:adjustRightInd w:val="0"/>
        <w:jc w:val="both"/>
        <w:rPr>
          <w:sz w:val="22"/>
          <w:szCs w:val="22"/>
        </w:rPr>
      </w:pPr>
      <w:r w:rsidRPr="00CD2CE3">
        <w:rPr>
          <w:sz w:val="22"/>
          <w:szCs w:val="22"/>
        </w:rPr>
        <w:t xml:space="preserve">Ahora bien, en relación con su consulta, esto es, </w:t>
      </w:r>
      <w:r w:rsidRPr="00CD2CE3">
        <w:rPr>
          <w:sz w:val="22"/>
          <w:szCs w:val="22"/>
          <w:lang w:val="es-CL" w:eastAsia="es-CL"/>
        </w:rPr>
        <w:t>a</w:t>
      </w:r>
      <w:r w:rsidR="00326D37" w:rsidRPr="00CD2CE3">
        <w:rPr>
          <w:sz w:val="22"/>
          <w:szCs w:val="22"/>
          <w:lang w:val="es-CL" w:eastAsia="es-CL"/>
        </w:rPr>
        <w:t xml:space="preserve"> s</w:t>
      </w:r>
      <w:r w:rsidR="00B24F94" w:rsidRPr="00CD2CE3">
        <w:rPr>
          <w:sz w:val="22"/>
          <w:szCs w:val="22"/>
          <w:lang w:val="es-CL" w:eastAsia="es-CL"/>
        </w:rPr>
        <w:t>i</w:t>
      </w:r>
      <w:r w:rsidR="00547B20" w:rsidRPr="00CD2CE3">
        <w:rPr>
          <w:sz w:val="22"/>
          <w:szCs w:val="22"/>
          <w:lang w:val="es-CL" w:eastAsia="es-CL"/>
        </w:rPr>
        <w:t>, como consecuencia de la derogación de</w:t>
      </w:r>
      <w:r w:rsidRPr="00CD2CE3">
        <w:rPr>
          <w:sz w:val="22"/>
          <w:szCs w:val="22"/>
          <w:lang w:val="es-CL" w:eastAsia="es-CL"/>
        </w:rPr>
        <w:t>l</w:t>
      </w:r>
      <w:r w:rsidR="00547B20" w:rsidRPr="00CD2CE3">
        <w:rPr>
          <w:sz w:val="22"/>
          <w:szCs w:val="22"/>
          <w:lang w:val="es-CL" w:eastAsia="es-CL"/>
        </w:rPr>
        <w:t xml:space="preserve"> artículo 18 ter, y la </w:t>
      </w:r>
      <w:r w:rsidRPr="00CD2CE3">
        <w:rPr>
          <w:sz w:val="22"/>
          <w:szCs w:val="22"/>
          <w:lang w:val="es-CL" w:eastAsia="es-CL"/>
        </w:rPr>
        <w:t>incorporación</w:t>
      </w:r>
      <w:r w:rsidR="00547B20" w:rsidRPr="00CD2CE3">
        <w:rPr>
          <w:sz w:val="22"/>
          <w:szCs w:val="22"/>
          <w:lang w:val="es-CL" w:eastAsia="es-CL"/>
        </w:rPr>
        <w:t xml:space="preserve"> del artículo 107, </w:t>
      </w:r>
      <w:r w:rsidRPr="00CD2CE3">
        <w:rPr>
          <w:sz w:val="22"/>
          <w:szCs w:val="22"/>
          <w:lang w:val="es-CL" w:eastAsia="es-CL"/>
        </w:rPr>
        <w:t>ambos de</w:t>
      </w:r>
      <w:r w:rsidR="00547B20" w:rsidRPr="00CD2CE3">
        <w:rPr>
          <w:sz w:val="22"/>
          <w:szCs w:val="22"/>
          <w:lang w:val="es-CL" w:eastAsia="es-CL"/>
        </w:rPr>
        <w:t xml:space="preserve"> la LIR, </w:t>
      </w:r>
      <w:r w:rsidRPr="00CD2CE3">
        <w:rPr>
          <w:sz w:val="22"/>
          <w:szCs w:val="22"/>
          <w:lang w:val="es-CL" w:eastAsia="es-CL"/>
        </w:rPr>
        <w:t>se mantiene el tratamiento tributario señalado en el párrafo anterior, respecto de la enajenación de acciones provenientes del canje de ADRs</w:t>
      </w:r>
      <w:r w:rsidR="005E69D9" w:rsidRPr="00CD2CE3">
        <w:rPr>
          <w:sz w:val="22"/>
          <w:szCs w:val="22"/>
          <w:lang w:val="es-CL" w:eastAsia="es-CL"/>
        </w:rPr>
        <w:t>, cabe expresar que no obstante las referidas modificaciones incorporadas al texto de la LIR, se mantie</w:t>
      </w:r>
      <w:r w:rsidR="00E20299" w:rsidRPr="00CD2CE3">
        <w:rPr>
          <w:sz w:val="22"/>
          <w:szCs w:val="22"/>
          <w:lang w:val="es-CL" w:eastAsia="es-CL"/>
        </w:rPr>
        <w:t xml:space="preserve">ne dicho tratamiento tributario, toda vez que </w:t>
      </w:r>
      <w:r w:rsidR="00AE4FB3" w:rsidRPr="00CD2CE3">
        <w:rPr>
          <w:sz w:val="22"/>
          <w:szCs w:val="22"/>
          <w:lang w:val="es-CL" w:eastAsia="es-CL"/>
        </w:rPr>
        <w:t>por una parte, el</w:t>
      </w:r>
      <w:r w:rsidR="005B7EC9" w:rsidRPr="00CD2CE3">
        <w:rPr>
          <w:sz w:val="22"/>
          <w:szCs w:val="22"/>
          <w:lang w:val="es-CL" w:eastAsia="es-CL"/>
        </w:rPr>
        <w:t xml:space="preserve"> artículo único de la Ley N° 20.466 de 2010, </w:t>
      </w:r>
      <w:r w:rsidR="00AE4FB3" w:rsidRPr="00CD2CE3">
        <w:rPr>
          <w:sz w:val="22"/>
          <w:szCs w:val="22"/>
          <w:lang w:val="es-CL" w:eastAsia="es-CL"/>
        </w:rPr>
        <w:t xml:space="preserve">expresa que </w:t>
      </w:r>
      <w:r w:rsidR="005B7EC9" w:rsidRPr="00CD2CE3">
        <w:rPr>
          <w:sz w:val="22"/>
          <w:szCs w:val="22"/>
          <w:lang w:val="es-CL" w:eastAsia="es-CL"/>
        </w:rPr>
        <w:t>p</w:t>
      </w:r>
      <w:r w:rsidR="00E20299" w:rsidRPr="00CD2CE3">
        <w:rPr>
          <w:sz w:val="22"/>
          <w:szCs w:val="22"/>
        </w:rPr>
        <w:t xml:space="preserve">ara todos los efectos legales, debe entenderse que el sentido y alcance de lo dispuesto en el </w:t>
      </w:r>
      <w:hyperlink r:id="rId8" w:history="1">
        <w:r w:rsidR="00E20299" w:rsidRPr="00CD2CE3">
          <w:rPr>
            <w:sz w:val="22"/>
            <w:szCs w:val="22"/>
          </w:rPr>
          <w:t>artículo 6° de la ley N° 20.448</w:t>
        </w:r>
      </w:hyperlink>
      <w:r w:rsidR="00E20299" w:rsidRPr="00CD2CE3">
        <w:rPr>
          <w:sz w:val="22"/>
          <w:szCs w:val="22"/>
        </w:rPr>
        <w:t xml:space="preserve">, en lo relativo a la derogación de los </w:t>
      </w:r>
      <w:hyperlink r:id="rId9" w:history="1">
        <w:r w:rsidR="00E20299" w:rsidRPr="00CD2CE3">
          <w:rPr>
            <w:sz w:val="22"/>
            <w:szCs w:val="22"/>
          </w:rPr>
          <w:t>artículos 18 bis</w:t>
        </w:r>
      </w:hyperlink>
      <w:r w:rsidR="00E20299" w:rsidRPr="00CD2CE3">
        <w:rPr>
          <w:sz w:val="22"/>
          <w:szCs w:val="22"/>
        </w:rPr>
        <w:t>,</w:t>
      </w:r>
      <w:r w:rsidR="005B7EC9" w:rsidRPr="00CD2CE3">
        <w:rPr>
          <w:sz w:val="22"/>
          <w:szCs w:val="22"/>
        </w:rPr>
        <w:t xml:space="preserve"> 18 ter</w:t>
      </w:r>
      <w:r w:rsidR="00E20299" w:rsidRPr="00CD2CE3">
        <w:rPr>
          <w:sz w:val="22"/>
          <w:szCs w:val="22"/>
        </w:rPr>
        <w:t xml:space="preserve"> y </w:t>
      </w:r>
      <w:hyperlink r:id="rId10" w:history="1">
        <w:r w:rsidR="00E20299" w:rsidRPr="00CD2CE3">
          <w:rPr>
            <w:sz w:val="22"/>
            <w:szCs w:val="22"/>
          </w:rPr>
          <w:t>18 quáter de la Ley sobre Impuesto a la Renta</w:t>
        </w:r>
      </w:hyperlink>
      <w:r w:rsidR="00E20299" w:rsidRPr="00CD2CE3">
        <w:rPr>
          <w:sz w:val="22"/>
          <w:szCs w:val="22"/>
        </w:rPr>
        <w:t xml:space="preserve">, fue reestructurar el tratamiento tributario de aquellas materias relativas al mercado de capitales, de modo tal que su </w:t>
      </w:r>
      <w:r w:rsidR="00E20299" w:rsidRPr="00CD2CE3">
        <w:rPr>
          <w:sz w:val="22"/>
          <w:szCs w:val="22"/>
        </w:rPr>
        <w:lastRenderedPageBreak/>
        <w:t>contenido corresponde, en lo principal, al texto de los artículos 106, 107 y 108, respectivamente, de la misma ley</w:t>
      </w:r>
      <w:r w:rsidR="00AE4FB3" w:rsidRPr="00CD2CE3">
        <w:rPr>
          <w:sz w:val="22"/>
          <w:szCs w:val="22"/>
        </w:rPr>
        <w:t>; y por la otra, el texto del actual artículo 107 de la LIR no innova sobre esta materia.</w:t>
      </w:r>
    </w:p>
    <w:p w:rsidR="00E20299" w:rsidRPr="00CD2CE3" w:rsidRDefault="00E20299" w:rsidP="005B7EC9">
      <w:pPr>
        <w:autoSpaceDE w:val="0"/>
        <w:autoSpaceDN w:val="0"/>
        <w:adjustRightInd w:val="0"/>
        <w:jc w:val="both"/>
        <w:rPr>
          <w:sz w:val="22"/>
          <w:szCs w:val="22"/>
        </w:rPr>
      </w:pPr>
    </w:p>
    <w:p w:rsidR="00426B39" w:rsidRPr="00CD2CE3" w:rsidRDefault="00426B39" w:rsidP="00A3411B">
      <w:pPr>
        <w:jc w:val="both"/>
        <w:rPr>
          <w:sz w:val="22"/>
          <w:szCs w:val="22"/>
          <w:lang w:val="es-CL" w:eastAsia="es-CL"/>
        </w:rPr>
      </w:pPr>
    </w:p>
    <w:p w:rsidR="009C4355" w:rsidRPr="00CD2CE3" w:rsidRDefault="00F63DC1" w:rsidP="009C4355">
      <w:pPr>
        <w:tabs>
          <w:tab w:val="left" w:pos="0"/>
        </w:tabs>
        <w:ind w:left="539" w:hanging="539"/>
        <w:jc w:val="both"/>
        <w:rPr>
          <w:b/>
          <w:sz w:val="22"/>
          <w:szCs w:val="22"/>
        </w:rPr>
      </w:pPr>
      <w:r w:rsidRPr="00CD2CE3">
        <w:rPr>
          <w:b/>
          <w:sz w:val="22"/>
          <w:szCs w:val="22"/>
        </w:rPr>
        <w:t>III.- CONCLUSI</w:t>
      </w:r>
      <w:r w:rsidR="00F75A64" w:rsidRPr="00CD2CE3">
        <w:rPr>
          <w:b/>
          <w:sz w:val="22"/>
          <w:szCs w:val="22"/>
        </w:rPr>
        <w:t>O</w:t>
      </w:r>
      <w:r w:rsidR="009C4355" w:rsidRPr="00CD2CE3">
        <w:rPr>
          <w:b/>
          <w:sz w:val="22"/>
          <w:szCs w:val="22"/>
        </w:rPr>
        <w:t>N</w:t>
      </w:r>
      <w:r w:rsidR="00F75A64" w:rsidRPr="00CD2CE3">
        <w:rPr>
          <w:b/>
          <w:sz w:val="22"/>
          <w:szCs w:val="22"/>
        </w:rPr>
        <w:t>ES</w:t>
      </w:r>
      <w:r w:rsidR="009C4355" w:rsidRPr="00CD2CE3">
        <w:rPr>
          <w:b/>
          <w:sz w:val="22"/>
          <w:szCs w:val="22"/>
        </w:rPr>
        <w:t>.</w:t>
      </w:r>
    </w:p>
    <w:p w:rsidR="00FE71C5" w:rsidRPr="00CD2CE3" w:rsidRDefault="00FE71C5" w:rsidP="00C86525">
      <w:pPr>
        <w:jc w:val="both"/>
        <w:rPr>
          <w:sz w:val="22"/>
          <w:szCs w:val="22"/>
          <w:lang w:val="es-CL" w:eastAsia="es-CL"/>
        </w:rPr>
      </w:pPr>
    </w:p>
    <w:p w:rsidR="00C25852" w:rsidRPr="00CD2CE3" w:rsidRDefault="000B3FA3" w:rsidP="00F87AE3">
      <w:pPr>
        <w:jc w:val="both"/>
        <w:rPr>
          <w:sz w:val="22"/>
          <w:szCs w:val="22"/>
          <w:lang w:val="es-CL" w:eastAsia="es-CL"/>
        </w:rPr>
      </w:pPr>
      <w:r w:rsidRPr="00CD2CE3">
        <w:rPr>
          <w:sz w:val="22"/>
          <w:szCs w:val="22"/>
          <w:lang w:val="es-CL" w:eastAsia="es-CL"/>
        </w:rPr>
        <w:t xml:space="preserve">No obstante la derogación del artículo 18 ter de la LIR y la incorporación del artículo 107 a este mismo texto legal, el </w:t>
      </w:r>
      <w:r w:rsidR="00F87AE3" w:rsidRPr="00CD2CE3">
        <w:rPr>
          <w:sz w:val="22"/>
          <w:szCs w:val="22"/>
          <w:lang w:val="es-CL" w:eastAsia="es-CL"/>
        </w:rPr>
        <w:t>pronunciamiento</w:t>
      </w:r>
      <w:r w:rsidRPr="00CD2CE3">
        <w:rPr>
          <w:sz w:val="22"/>
          <w:szCs w:val="22"/>
          <w:lang w:val="es-CL" w:eastAsia="es-CL"/>
        </w:rPr>
        <w:t xml:space="preserve"> de este Servicio</w:t>
      </w:r>
      <w:r w:rsidR="00F87AE3" w:rsidRPr="00CD2CE3">
        <w:rPr>
          <w:sz w:val="22"/>
          <w:szCs w:val="22"/>
          <w:lang w:val="es-CL" w:eastAsia="es-CL"/>
        </w:rPr>
        <w:t>,</w:t>
      </w:r>
      <w:r w:rsidRPr="00CD2CE3">
        <w:rPr>
          <w:sz w:val="22"/>
          <w:szCs w:val="22"/>
          <w:lang w:val="es-CL" w:eastAsia="es-CL"/>
        </w:rPr>
        <w:t xml:space="preserve"> sobre el tratamiento tributario d</w:t>
      </w:r>
      <w:r w:rsidR="00EB63D8" w:rsidRPr="00CD2CE3">
        <w:rPr>
          <w:sz w:val="22"/>
          <w:szCs w:val="22"/>
          <w:lang w:val="es-CL" w:eastAsia="es-CL"/>
        </w:rPr>
        <w:t>e</w:t>
      </w:r>
      <w:r w:rsidR="00F56EFD" w:rsidRPr="00CD2CE3">
        <w:rPr>
          <w:sz w:val="22"/>
          <w:szCs w:val="22"/>
          <w:lang w:val="es-CL" w:eastAsia="es-CL"/>
        </w:rPr>
        <w:t>l mayor valor obtenido en la enajenación de acciones</w:t>
      </w:r>
      <w:r w:rsidR="000B0314" w:rsidRPr="00CD2CE3">
        <w:rPr>
          <w:sz w:val="22"/>
          <w:szCs w:val="22"/>
          <w:lang w:val="es-CL" w:eastAsia="es-CL"/>
        </w:rPr>
        <w:t xml:space="preserve"> de sociedades anónimas </w:t>
      </w:r>
      <w:r w:rsidR="002E7B47" w:rsidRPr="00CD2CE3">
        <w:rPr>
          <w:sz w:val="22"/>
          <w:szCs w:val="22"/>
          <w:lang w:val="es-CL" w:eastAsia="es-CL"/>
        </w:rPr>
        <w:t>abiertas</w:t>
      </w:r>
      <w:r w:rsidR="00F56EFD" w:rsidRPr="00CD2CE3">
        <w:rPr>
          <w:sz w:val="22"/>
          <w:szCs w:val="22"/>
          <w:lang w:val="es-CL" w:eastAsia="es-CL"/>
        </w:rPr>
        <w:t xml:space="preserve">, </w:t>
      </w:r>
      <w:r w:rsidR="00F87AE3" w:rsidRPr="00CD2CE3">
        <w:rPr>
          <w:sz w:val="22"/>
          <w:szCs w:val="22"/>
          <w:lang w:val="es-CL" w:eastAsia="es-CL"/>
        </w:rPr>
        <w:t xml:space="preserve">provenientes </w:t>
      </w:r>
      <w:r w:rsidR="00F56EFD" w:rsidRPr="00CD2CE3">
        <w:rPr>
          <w:sz w:val="22"/>
          <w:szCs w:val="22"/>
          <w:lang w:val="es-CL" w:eastAsia="es-CL"/>
        </w:rPr>
        <w:t xml:space="preserve">del canje </w:t>
      </w:r>
      <w:r w:rsidR="00F87AE3" w:rsidRPr="00CD2CE3">
        <w:rPr>
          <w:sz w:val="22"/>
          <w:szCs w:val="22"/>
          <w:lang w:val="es-CL" w:eastAsia="es-CL"/>
        </w:rPr>
        <w:t>de ADRs</w:t>
      </w:r>
      <w:r w:rsidR="00BD0B17" w:rsidRPr="00CD2CE3">
        <w:rPr>
          <w:sz w:val="22"/>
          <w:szCs w:val="22"/>
          <w:lang w:val="es-CL" w:eastAsia="es-CL"/>
        </w:rPr>
        <w:t>, contenido en el Oficio N° 1.705, de 2006,</w:t>
      </w:r>
      <w:r w:rsidR="00F87AE3" w:rsidRPr="00CD2CE3">
        <w:rPr>
          <w:sz w:val="22"/>
          <w:szCs w:val="22"/>
          <w:lang w:val="es-CL" w:eastAsia="es-CL"/>
        </w:rPr>
        <w:t xml:space="preserve"> se mantiene vigente.</w:t>
      </w:r>
    </w:p>
    <w:p w:rsidR="00F87AE3" w:rsidRPr="00CD2CE3" w:rsidRDefault="00F87AE3" w:rsidP="00F87AE3">
      <w:pPr>
        <w:jc w:val="both"/>
        <w:rPr>
          <w:sz w:val="22"/>
          <w:szCs w:val="22"/>
          <w:lang w:val="es-CL" w:eastAsia="es-CL"/>
        </w:rPr>
      </w:pPr>
    </w:p>
    <w:p w:rsidR="00F87AE3" w:rsidRPr="00CD2CE3" w:rsidRDefault="00F87AE3" w:rsidP="00F87AE3">
      <w:pPr>
        <w:jc w:val="both"/>
        <w:rPr>
          <w:spacing w:val="-3"/>
          <w:sz w:val="22"/>
          <w:szCs w:val="22"/>
        </w:rPr>
      </w:pPr>
      <w:r w:rsidRPr="00CD2CE3">
        <w:rPr>
          <w:sz w:val="22"/>
          <w:szCs w:val="22"/>
        </w:rPr>
        <w:t xml:space="preserve">De acuerdo con ello, el mayor valor en la venta de acciones provenientes de un canje de ADR por acciones, puede acogerse al beneficio tributario dispuesto en el artículo </w:t>
      </w:r>
      <w:r w:rsidR="00F52B2C" w:rsidRPr="00CD2CE3">
        <w:rPr>
          <w:sz w:val="22"/>
          <w:szCs w:val="22"/>
        </w:rPr>
        <w:t>107 de la LIR</w:t>
      </w:r>
      <w:r w:rsidRPr="00CD2CE3">
        <w:rPr>
          <w:sz w:val="22"/>
          <w:szCs w:val="22"/>
        </w:rPr>
        <w:t>, en el caso que el ADR que las representa haya sido adquirido en una bolsa de valores o en otra de las circunstancias que dicha disposición legal establece, y siempre que se cumplan los demás requisitos legales, respecto de los cuales el Servicio impartió las instrucciones correspondientes en la Circular N° 7, del año 2002.</w:t>
      </w:r>
    </w:p>
    <w:p w:rsidR="009D2BB5" w:rsidRPr="00CD2CE3" w:rsidRDefault="009D2BB5" w:rsidP="001E75F3">
      <w:pPr>
        <w:pStyle w:val="Sangra2detindependiente"/>
        <w:ind w:left="0" w:firstLine="0"/>
        <w:rPr>
          <w:rFonts w:ascii="Times New Roman" w:hAnsi="Times New Roman" w:cs="Times New Roman"/>
          <w:szCs w:val="22"/>
        </w:rPr>
      </w:pPr>
    </w:p>
    <w:p w:rsidR="00731226" w:rsidRPr="00CD2CE3" w:rsidRDefault="00731226">
      <w:pPr>
        <w:pStyle w:val="Sangra2detindependiente"/>
        <w:rPr>
          <w:rFonts w:ascii="Times New Roman" w:hAnsi="Times New Roman" w:cs="Times New Roman"/>
          <w:szCs w:val="22"/>
        </w:rPr>
      </w:pPr>
    </w:p>
    <w:p w:rsidR="00E01401" w:rsidRPr="00CD2CE3" w:rsidRDefault="00E01401">
      <w:pPr>
        <w:pStyle w:val="Sangra2detindependiente"/>
        <w:rPr>
          <w:rFonts w:ascii="Times New Roman" w:hAnsi="Times New Roman" w:cs="Times New Roman"/>
          <w:szCs w:val="22"/>
        </w:rPr>
      </w:pPr>
    </w:p>
    <w:p w:rsidR="00444F27" w:rsidRPr="00CD2CE3" w:rsidRDefault="00444F27">
      <w:pPr>
        <w:pStyle w:val="Sangra2detindependiente"/>
        <w:rPr>
          <w:rFonts w:ascii="Times New Roman" w:hAnsi="Times New Roman" w:cs="Times New Roman"/>
          <w:szCs w:val="22"/>
        </w:rPr>
      </w:pPr>
    </w:p>
    <w:p w:rsidR="00731226" w:rsidRPr="00CD2CE3" w:rsidRDefault="00731226">
      <w:pPr>
        <w:pStyle w:val="Sangra2detindependiente"/>
        <w:rPr>
          <w:rFonts w:ascii="Times New Roman" w:hAnsi="Times New Roman" w:cs="Times New Roman"/>
          <w:szCs w:val="22"/>
        </w:rPr>
      </w:pPr>
    </w:p>
    <w:p w:rsidR="00731226" w:rsidRPr="00CD2CE3" w:rsidRDefault="002678A0">
      <w:pPr>
        <w:pStyle w:val="Sangra2detindependiente"/>
        <w:ind w:left="3960" w:firstLine="0"/>
        <w:jc w:val="center"/>
        <w:rPr>
          <w:rFonts w:ascii="Times New Roman" w:hAnsi="Times New Roman" w:cs="Times New Roman"/>
          <w:b/>
          <w:bCs/>
          <w:szCs w:val="22"/>
        </w:rPr>
      </w:pPr>
      <w:r w:rsidRPr="00CD2CE3">
        <w:rPr>
          <w:rFonts w:ascii="Times New Roman" w:hAnsi="Times New Roman" w:cs="Times New Roman"/>
          <w:b/>
          <w:bCs/>
          <w:szCs w:val="22"/>
        </w:rPr>
        <w:t>JULIO PEREIRA GANDARILLAS</w:t>
      </w:r>
    </w:p>
    <w:p w:rsidR="00731226" w:rsidRPr="00CD2CE3" w:rsidRDefault="00731226">
      <w:pPr>
        <w:pStyle w:val="Sangra2detindependiente"/>
        <w:ind w:left="3960" w:firstLine="0"/>
        <w:jc w:val="center"/>
        <w:rPr>
          <w:rFonts w:ascii="Times New Roman" w:hAnsi="Times New Roman" w:cs="Times New Roman"/>
          <w:b/>
          <w:bCs/>
          <w:szCs w:val="22"/>
        </w:rPr>
      </w:pPr>
      <w:r w:rsidRPr="00CD2CE3">
        <w:rPr>
          <w:rFonts w:ascii="Times New Roman" w:hAnsi="Times New Roman" w:cs="Times New Roman"/>
          <w:b/>
          <w:bCs/>
          <w:szCs w:val="22"/>
        </w:rPr>
        <w:t>DIRECTOR</w:t>
      </w:r>
    </w:p>
    <w:p w:rsidR="00731226" w:rsidRPr="00CD2CE3" w:rsidRDefault="00731226">
      <w:pPr>
        <w:pStyle w:val="Sangra2detindependiente"/>
        <w:rPr>
          <w:rFonts w:ascii="Times New Roman" w:hAnsi="Times New Roman" w:cs="Times New Roman"/>
          <w:szCs w:val="22"/>
        </w:rPr>
      </w:pPr>
    </w:p>
    <w:p w:rsidR="004B6EF5" w:rsidRPr="00CD2CE3" w:rsidRDefault="004B6EF5">
      <w:pPr>
        <w:pStyle w:val="Sangra2detindependiente"/>
        <w:rPr>
          <w:rFonts w:ascii="Times New Roman" w:hAnsi="Times New Roman" w:cs="Times New Roman"/>
          <w:b/>
          <w:bCs/>
          <w:szCs w:val="22"/>
        </w:rPr>
      </w:pPr>
    </w:p>
    <w:p w:rsidR="00731226" w:rsidRDefault="00731226" w:rsidP="00C32897">
      <w:pPr>
        <w:pStyle w:val="Sangra2detindependiente"/>
        <w:autoSpaceDE w:val="0"/>
        <w:autoSpaceDN w:val="0"/>
        <w:adjustRightInd w:val="0"/>
        <w:ind w:left="0" w:firstLine="0"/>
        <w:jc w:val="center"/>
        <w:rPr>
          <w:rFonts w:ascii="Times New Roman" w:hAnsi="Times New Roman" w:cs="Times New Roman"/>
          <w:szCs w:val="22"/>
        </w:rPr>
      </w:pPr>
    </w:p>
    <w:p w:rsidR="0022584C" w:rsidRDefault="0022584C" w:rsidP="00C32897">
      <w:pPr>
        <w:pStyle w:val="Sangra2detindependiente"/>
        <w:autoSpaceDE w:val="0"/>
        <w:autoSpaceDN w:val="0"/>
        <w:adjustRightInd w:val="0"/>
        <w:ind w:left="0" w:firstLine="0"/>
        <w:jc w:val="center"/>
        <w:rPr>
          <w:rFonts w:ascii="Times New Roman" w:hAnsi="Times New Roman" w:cs="Times New Roman"/>
          <w:szCs w:val="22"/>
        </w:rPr>
      </w:pPr>
    </w:p>
    <w:p w:rsidR="0022584C" w:rsidRDefault="0022584C" w:rsidP="00C32897">
      <w:pPr>
        <w:pStyle w:val="Sangra2detindependiente"/>
        <w:autoSpaceDE w:val="0"/>
        <w:autoSpaceDN w:val="0"/>
        <w:adjustRightInd w:val="0"/>
        <w:ind w:left="0" w:firstLine="0"/>
        <w:jc w:val="center"/>
        <w:rPr>
          <w:rFonts w:ascii="Times New Roman" w:hAnsi="Times New Roman" w:cs="Times New Roman"/>
          <w:szCs w:val="22"/>
        </w:rPr>
      </w:pPr>
    </w:p>
    <w:p w:rsidR="0022584C" w:rsidRDefault="0022584C" w:rsidP="00C32897">
      <w:pPr>
        <w:pStyle w:val="Sangra2detindependiente"/>
        <w:autoSpaceDE w:val="0"/>
        <w:autoSpaceDN w:val="0"/>
        <w:adjustRightInd w:val="0"/>
        <w:ind w:left="0" w:firstLine="0"/>
        <w:jc w:val="center"/>
        <w:rPr>
          <w:rFonts w:ascii="Times New Roman" w:hAnsi="Times New Roman" w:cs="Times New Roman"/>
          <w:szCs w:val="22"/>
        </w:rPr>
      </w:pPr>
    </w:p>
    <w:p w:rsidR="00C32897" w:rsidRDefault="00C32897" w:rsidP="00C32897">
      <w:pPr>
        <w:pStyle w:val="Sangra2detindependiente"/>
        <w:autoSpaceDE w:val="0"/>
        <w:autoSpaceDN w:val="0"/>
        <w:adjustRightInd w:val="0"/>
        <w:ind w:left="0" w:firstLine="0"/>
        <w:jc w:val="center"/>
        <w:rPr>
          <w:rFonts w:ascii="Times New Roman" w:hAnsi="Times New Roman" w:cs="Times New Roman"/>
          <w:szCs w:val="22"/>
        </w:rPr>
      </w:pPr>
    </w:p>
    <w:p w:rsidR="00C32897" w:rsidRDefault="00C32897" w:rsidP="00C32897">
      <w:pPr>
        <w:pStyle w:val="Sangra2detindependiente"/>
        <w:autoSpaceDE w:val="0"/>
        <w:autoSpaceDN w:val="0"/>
        <w:adjustRightInd w:val="0"/>
        <w:ind w:left="0" w:firstLine="0"/>
        <w:jc w:val="center"/>
        <w:rPr>
          <w:rFonts w:ascii="Times New Roman" w:hAnsi="Times New Roman" w:cs="Times New Roman"/>
          <w:szCs w:val="22"/>
        </w:rPr>
      </w:pPr>
      <w:r>
        <w:rPr>
          <w:rFonts w:ascii="Times New Roman" w:hAnsi="Times New Roman" w:cs="Times New Roman"/>
          <w:szCs w:val="22"/>
        </w:rPr>
        <w:t>Oficio N° 2922, de 29.10.2012</w:t>
      </w:r>
    </w:p>
    <w:p w:rsidR="00C32897" w:rsidRDefault="00C32897" w:rsidP="00C32897">
      <w:pPr>
        <w:pStyle w:val="Sangra2detindependiente"/>
        <w:autoSpaceDE w:val="0"/>
        <w:autoSpaceDN w:val="0"/>
        <w:adjustRightInd w:val="0"/>
        <w:ind w:left="0" w:firstLine="0"/>
        <w:jc w:val="center"/>
        <w:rPr>
          <w:rFonts w:ascii="Times New Roman" w:hAnsi="Times New Roman" w:cs="Times New Roman"/>
          <w:b/>
          <w:szCs w:val="22"/>
        </w:rPr>
      </w:pPr>
      <w:r>
        <w:rPr>
          <w:rFonts w:ascii="Times New Roman" w:hAnsi="Times New Roman" w:cs="Times New Roman"/>
          <w:b/>
          <w:szCs w:val="22"/>
        </w:rPr>
        <w:t>Subdirección Normativa</w:t>
      </w:r>
    </w:p>
    <w:p w:rsidR="00C32897" w:rsidRPr="00C32897" w:rsidRDefault="00C32897" w:rsidP="00C32897">
      <w:pPr>
        <w:pStyle w:val="Sangra2detindependiente"/>
        <w:autoSpaceDE w:val="0"/>
        <w:autoSpaceDN w:val="0"/>
        <w:adjustRightInd w:val="0"/>
        <w:ind w:left="0" w:firstLine="0"/>
        <w:jc w:val="center"/>
        <w:rPr>
          <w:rFonts w:ascii="Times New Roman" w:hAnsi="Times New Roman" w:cs="Times New Roman"/>
          <w:szCs w:val="22"/>
        </w:rPr>
      </w:pPr>
      <w:r>
        <w:rPr>
          <w:rFonts w:ascii="Times New Roman" w:hAnsi="Times New Roman" w:cs="Times New Roman"/>
          <w:szCs w:val="22"/>
        </w:rPr>
        <w:t>Dpto. de Impuestos Directos</w:t>
      </w:r>
    </w:p>
    <w:sectPr w:rsidR="00C32897" w:rsidRPr="00C32897" w:rsidSect="0066133D">
      <w:headerReference w:type="even" r:id="rId11"/>
      <w:headerReference w:type="default" r:id="rId12"/>
      <w:pgSz w:w="12242" w:h="18722" w:code="165"/>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58" w:rsidRDefault="00F86F58">
      <w:r>
        <w:separator/>
      </w:r>
    </w:p>
  </w:endnote>
  <w:endnote w:type="continuationSeparator" w:id="0">
    <w:p w:rsidR="00F86F58" w:rsidRDefault="00F86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58" w:rsidRDefault="00F86F58">
      <w:r>
        <w:separator/>
      </w:r>
    </w:p>
  </w:footnote>
  <w:footnote w:type="continuationSeparator" w:id="0">
    <w:p w:rsidR="00F86F58" w:rsidRDefault="00F86F58">
      <w:r>
        <w:continuationSeparator/>
      </w:r>
    </w:p>
  </w:footnote>
  <w:footnote w:id="1">
    <w:p w:rsidR="007845D7" w:rsidRPr="008741EE" w:rsidRDefault="007845D7" w:rsidP="00E61475">
      <w:pPr>
        <w:pStyle w:val="Textonotapie"/>
        <w:jc w:val="both"/>
        <w:rPr>
          <w:sz w:val="18"/>
          <w:szCs w:val="18"/>
          <w:lang w:val="es-CL"/>
        </w:rPr>
      </w:pPr>
      <w:r w:rsidRPr="008741EE">
        <w:rPr>
          <w:rStyle w:val="Refdenotaalpie"/>
          <w:sz w:val="18"/>
          <w:szCs w:val="18"/>
        </w:rPr>
        <w:footnoteRef/>
      </w:r>
      <w:r w:rsidRPr="008741EE">
        <w:rPr>
          <w:sz w:val="18"/>
          <w:szCs w:val="18"/>
        </w:rPr>
        <w:t xml:space="preserve"> </w:t>
      </w:r>
      <w:r w:rsidR="00C017E2" w:rsidRPr="008741EE">
        <w:rPr>
          <w:sz w:val="18"/>
          <w:szCs w:val="18"/>
        </w:rPr>
        <w:t>Sobre</w:t>
      </w:r>
      <w:r w:rsidR="009C4EA8" w:rsidRPr="008741EE">
        <w:rPr>
          <w:sz w:val="18"/>
          <w:szCs w:val="18"/>
        </w:rPr>
        <w:t xml:space="preserve"> </w:t>
      </w:r>
      <w:r w:rsidR="00CF2DC9" w:rsidRPr="008741EE">
        <w:rPr>
          <w:sz w:val="18"/>
          <w:szCs w:val="18"/>
          <w:lang w:val="es-CL"/>
        </w:rPr>
        <w:t>procedimiento</w:t>
      </w:r>
      <w:r w:rsidRPr="008741EE">
        <w:rPr>
          <w:sz w:val="18"/>
          <w:szCs w:val="18"/>
          <w:lang w:val="es-CL"/>
        </w:rPr>
        <w:t xml:space="preserve"> simplificado para otorgar RUT y eximir de determinadas obligaciones tributarias</w:t>
      </w:r>
      <w:r w:rsidR="003F26E7" w:rsidRPr="008741EE">
        <w:rPr>
          <w:sz w:val="18"/>
          <w:szCs w:val="18"/>
          <w:lang w:val="es-CL"/>
        </w:rPr>
        <w:t>,</w:t>
      </w:r>
      <w:r w:rsidRPr="008741EE">
        <w:rPr>
          <w:sz w:val="18"/>
          <w:szCs w:val="18"/>
          <w:lang w:val="es-CL"/>
        </w:rPr>
        <w:t xml:space="preserve"> a contribuyentes no domiciliados ni residentes en Chile</w:t>
      </w:r>
      <w:r w:rsidR="0087674E" w:rsidRPr="008741EE">
        <w:rPr>
          <w:sz w:val="18"/>
          <w:szCs w:val="18"/>
          <w:lang w:val="es-CL"/>
        </w:rPr>
        <w:t>,</w:t>
      </w:r>
      <w:r w:rsidR="004C3BF8" w:rsidRPr="008741EE">
        <w:rPr>
          <w:sz w:val="18"/>
          <w:szCs w:val="18"/>
          <w:lang w:val="es-CL"/>
        </w:rPr>
        <w:t xml:space="preserve"> que obtengan sol</w:t>
      </w:r>
      <w:r w:rsidR="003F26E7" w:rsidRPr="008741EE">
        <w:rPr>
          <w:sz w:val="18"/>
          <w:szCs w:val="18"/>
          <w:lang w:val="es-CL"/>
        </w:rPr>
        <w:t xml:space="preserve">amente rentas de aquellas que señala </w:t>
      </w:r>
      <w:r w:rsidR="001D38C3" w:rsidRPr="008741EE">
        <w:rPr>
          <w:sz w:val="18"/>
          <w:szCs w:val="18"/>
          <w:lang w:val="es-CL"/>
        </w:rPr>
        <w:t>dicho</w:t>
      </w:r>
      <w:r w:rsidR="003F26E7" w:rsidRPr="008741EE">
        <w:rPr>
          <w:sz w:val="18"/>
          <w:szCs w:val="18"/>
          <w:lang w:val="es-CL"/>
        </w:rPr>
        <w:t xml:space="preserve"> instructivo</w:t>
      </w:r>
      <w:r w:rsidRPr="008741EE">
        <w:rPr>
          <w:sz w:val="18"/>
          <w:szCs w:val="18"/>
          <w:lang w:val="es-CL"/>
        </w:rPr>
        <w:t>.</w:t>
      </w:r>
    </w:p>
    <w:p w:rsidR="00375EA4" w:rsidRPr="008741EE" w:rsidRDefault="00375EA4" w:rsidP="00E61475">
      <w:pPr>
        <w:pStyle w:val="Textonotapie"/>
        <w:jc w:val="both"/>
        <w:rPr>
          <w:sz w:val="18"/>
          <w:szCs w:val="18"/>
          <w:lang w:val="es-CL"/>
        </w:rPr>
      </w:pPr>
    </w:p>
  </w:footnote>
  <w:footnote w:id="2">
    <w:p w:rsidR="006518DD" w:rsidRPr="008741EE" w:rsidRDefault="006518DD" w:rsidP="00E61475">
      <w:pPr>
        <w:pStyle w:val="Textonotapie"/>
        <w:jc w:val="both"/>
        <w:rPr>
          <w:sz w:val="18"/>
          <w:szCs w:val="18"/>
          <w:lang w:val="es-CL" w:eastAsia="es-CL"/>
        </w:rPr>
      </w:pPr>
      <w:r w:rsidRPr="008741EE">
        <w:rPr>
          <w:rStyle w:val="Refdenotaalpie"/>
          <w:sz w:val="18"/>
          <w:szCs w:val="18"/>
        </w:rPr>
        <w:footnoteRef/>
      </w:r>
      <w:r w:rsidRPr="008741EE">
        <w:rPr>
          <w:sz w:val="18"/>
          <w:szCs w:val="18"/>
        </w:rPr>
        <w:t xml:space="preserve"> Las instrucciones</w:t>
      </w:r>
      <w:r w:rsidR="0007009B" w:rsidRPr="008741EE">
        <w:rPr>
          <w:sz w:val="18"/>
          <w:szCs w:val="18"/>
        </w:rPr>
        <w:t xml:space="preserve"> del SII,</w:t>
      </w:r>
      <w:r w:rsidRPr="008741EE">
        <w:rPr>
          <w:sz w:val="18"/>
          <w:szCs w:val="18"/>
        </w:rPr>
        <w:t xml:space="preserve"> relativas al artículo 18 ter, fueron </w:t>
      </w:r>
      <w:r w:rsidR="0007009B" w:rsidRPr="008741EE">
        <w:rPr>
          <w:sz w:val="18"/>
          <w:szCs w:val="18"/>
        </w:rPr>
        <w:t xml:space="preserve">impartidas a través de la </w:t>
      </w:r>
      <w:r w:rsidRPr="008741EE">
        <w:rPr>
          <w:sz w:val="18"/>
          <w:szCs w:val="18"/>
          <w:lang w:val="es-CL" w:eastAsia="es-CL"/>
        </w:rPr>
        <w:t>Circular N°7, de 2002.</w:t>
      </w:r>
    </w:p>
    <w:p w:rsidR="006518DD" w:rsidRPr="008741EE" w:rsidRDefault="006518DD" w:rsidP="00E61475">
      <w:pPr>
        <w:pStyle w:val="Textonotapie"/>
        <w:jc w:val="both"/>
        <w:rPr>
          <w:sz w:val="18"/>
          <w:szCs w:val="18"/>
          <w:lang w:val="es-CL"/>
        </w:rPr>
      </w:pPr>
    </w:p>
  </w:footnote>
  <w:footnote w:id="3">
    <w:p w:rsidR="00854B05" w:rsidRPr="008741EE" w:rsidRDefault="00854B05" w:rsidP="00E61475">
      <w:pPr>
        <w:pStyle w:val="Textonotapie"/>
        <w:jc w:val="both"/>
        <w:rPr>
          <w:sz w:val="18"/>
          <w:szCs w:val="18"/>
          <w:lang w:val="es-CL"/>
        </w:rPr>
      </w:pPr>
      <w:r w:rsidRPr="008741EE">
        <w:rPr>
          <w:rStyle w:val="Refdenotaalpie"/>
          <w:sz w:val="18"/>
          <w:szCs w:val="18"/>
        </w:rPr>
        <w:footnoteRef/>
      </w:r>
      <w:r w:rsidRPr="008741EE">
        <w:rPr>
          <w:sz w:val="18"/>
          <w:szCs w:val="18"/>
        </w:rPr>
        <w:t xml:space="preserve"> </w:t>
      </w:r>
      <w:r w:rsidRPr="008741EE">
        <w:rPr>
          <w:sz w:val="18"/>
          <w:szCs w:val="18"/>
          <w:lang w:val="es-CL"/>
        </w:rPr>
        <w:t>Publicada en el Diario Oficial el 13 de agosto de 2010.</w:t>
      </w:r>
    </w:p>
    <w:p w:rsidR="00854B05" w:rsidRPr="008741EE" w:rsidRDefault="00854B05" w:rsidP="00E61475">
      <w:pPr>
        <w:pStyle w:val="Textonotapie"/>
        <w:jc w:val="both"/>
        <w:rPr>
          <w:sz w:val="18"/>
          <w:szCs w:val="18"/>
          <w:lang w:val="es-CL"/>
        </w:rPr>
      </w:pPr>
    </w:p>
  </w:footnote>
  <w:footnote w:id="4">
    <w:p w:rsidR="006518DD" w:rsidRPr="008741EE" w:rsidRDefault="006518DD" w:rsidP="00E61475">
      <w:pPr>
        <w:pStyle w:val="Textonotapie"/>
        <w:rPr>
          <w:sz w:val="18"/>
          <w:szCs w:val="18"/>
          <w:lang w:val="es-CL"/>
        </w:rPr>
      </w:pPr>
      <w:r w:rsidRPr="008741EE">
        <w:rPr>
          <w:rStyle w:val="Refdenotaalpie"/>
          <w:sz w:val="18"/>
          <w:szCs w:val="18"/>
        </w:rPr>
        <w:footnoteRef/>
      </w:r>
      <w:r w:rsidRPr="008741EE">
        <w:rPr>
          <w:sz w:val="18"/>
          <w:szCs w:val="18"/>
        </w:rPr>
        <w:t xml:space="preserve"> </w:t>
      </w:r>
      <w:r w:rsidRPr="008741EE">
        <w:rPr>
          <w:sz w:val="18"/>
          <w:szCs w:val="18"/>
          <w:lang w:val="es-CL"/>
        </w:rPr>
        <w:t>Publicada en el Diario Oficial el 30 de septiembre de 2010.</w:t>
      </w:r>
    </w:p>
    <w:p w:rsidR="006518DD" w:rsidRPr="008741EE" w:rsidRDefault="006518DD" w:rsidP="006518DD">
      <w:pPr>
        <w:pStyle w:val="Textonotapie"/>
        <w:rPr>
          <w:sz w:val="18"/>
          <w:szCs w:val="18"/>
          <w:lang w:val="es-CL"/>
        </w:rPr>
      </w:pPr>
    </w:p>
  </w:footnote>
  <w:footnote w:id="5">
    <w:p w:rsidR="00C64406" w:rsidRPr="00C64406" w:rsidRDefault="00C64406">
      <w:pPr>
        <w:pStyle w:val="Textonotapie"/>
        <w:rPr>
          <w:lang w:val="es-CL"/>
        </w:rPr>
      </w:pPr>
      <w:r w:rsidRPr="008741EE">
        <w:rPr>
          <w:rStyle w:val="Refdenotaalpie"/>
          <w:sz w:val="18"/>
          <w:szCs w:val="18"/>
        </w:rPr>
        <w:footnoteRef/>
      </w:r>
      <w:r w:rsidRPr="008741EE">
        <w:rPr>
          <w:sz w:val="18"/>
          <w:szCs w:val="18"/>
        </w:rPr>
        <w:t xml:space="preserve"> </w:t>
      </w:r>
      <w:r w:rsidRPr="008741EE">
        <w:rPr>
          <w:sz w:val="18"/>
          <w:szCs w:val="18"/>
          <w:lang w:val="es-CL"/>
        </w:rPr>
        <w:t>Oficio N° 1.705, de 15.05.2006.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6" w:rsidRDefault="0085296A">
    <w:pPr>
      <w:pStyle w:val="Encabezado"/>
      <w:framePr w:wrap="around" w:vAnchor="text" w:hAnchor="margin" w:xAlign="right" w:y="1"/>
      <w:rPr>
        <w:rStyle w:val="Nmerodepgina"/>
      </w:rPr>
    </w:pPr>
    <w:r>
      <w:rPr>
        <w:rStyle w:val="Nmerodepgina"/>
      </w:rPr>
      <w:fldChar w:fldCharType="begin"/>
    </w:r>
    <w:r w:rsidR="00731226">
      <w:rPr>
        <w:rStyle w:val="Nmerodepgina"/>
      </w:rPr>
      <w:instrText xml:space="preserve">PAGE  </w:instrText>
    </w:r>
    <w:r>
      <w:rPr>
        <w:rStyle w:val="Nmerodepgina"/>
      </w:rPr>
      <w:fldChar w:fldCharType="end"/>
    </w:r>
  </w:p>
  <w:p w:rsidR="00731226" w:rsidRDefault="0073122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6" w:rsidRDefault="0085296A">
    <w:pPr>
      <w:pStyle w:val="Encabezado"/>
      <w:framePr w:wrap="around" w:vAnchor="text" w:hAnchor="margin" w:xAlign="right" w:y="1"/>
      <w:rPr>
        <w:rStyle w:val="Nmerodepgina"/>
      </w:rPr>
    </w:pPr>
    <w:r>
      <w:rPr>
        <w:rStyle w:val="Nmerodepgina"/>
      </w:rPr>
      <w:fldChar w:fldCharType="begin"/>
    </w:r>
    <w:r w:rsidR="00731226">
      <w:rPr>
        <w:rStyle w:val="Nmerodepgina"/>
      </w:rPr>
      <w:instrText xml:space="preserve">PAGE  </w:instrText>
    </w:r>
    <w:r>
      <w:rPr>
        <w:rStyle w:val="Nmerodepgina"/>
      </w:rPr>
      <w:fldChar w:fldCharType="separate"/>
    </w:r>
    <w:r w:rsidR="0022584C">
      <w:rPr>
        <w:rStyle w:val="Nmerodepgina"/>
        <w:noProof/>
      </w:rPr>
      <w:t>2</w:t>
    </w:r>
    <w:r>
      <w:rPr>
        <w:rStyle w:val="Nmerodepgina"/>
      </w:rPr>
      <w:fldChar w:fldCharType="end"/>
    </w:r>
  </w:p>
  <w:p w:rsidR="00731226" w:rsidRDefault="0073122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DA3"/>
    <w:multiLevelType w:val="multilevel"/>
    <w:tmpl w:val="BC1AC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713BA"/>
    <w:multiLevelType w:val="hybridMultilevel"/>
    <w:tmpl w:val="648E292A"/>
    <w:lvl w:ilvl="0" w:tplc="3EB8AB48">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
    <w:nsid w:val="24522479"/>
    <w:multiLevelType w:val="multilevel"/>
    <w:tmpl w:val="E55E0B8E"/>
    <w:lvl w:ilvl="0">
      <w:start w:val="340"/>
      <w:numFmt w:val="decimal"/>
      <w:lvlText w:val="%1"/>
      <w:lvlJc w:val="left"/>
      <w:pPr>
        <w:tabs>
          <w:tab w:val="num" w:pos="1095"/>
        </w:tabs>
        <w:ind w:left="1095" w:hanging="1095"/>
      </w:pPr>
      <w:rPr>
        <w:rFonts w:hint="default"/>
      </w:rPr>
    </w:lvl>
    <w:lvl w:ilvl="1">
      <w:start w:val="2006"/>
      <w:numFmt w:val="decimal"/>
      <w:lvlText w:val="%1.%2"/>
      <w:lvlJc w:val="left"/>
      <w:pPr>
        <w:tabs>
          <w:tab w:val="num" w:pos="2715"/>
        </w:tabs>
        <w:ind w:left="2715" w:hanging="1095"/>
      </w:pPr>
      <w:rPr>
        <w:rFonts w:hint="default"/>
      </w:rPr>
    </w:lvl>
    <w:lvl w:ilvl="2">
      <w:start w:val="1"/>
      <w:numFmt w:val="decimal"/>
      <w:lvlText w:val="%1.%2.%3"/>
      <w:lvlJc w:val="left"/>
      <w:pPr>
        <w:tabs>
          <w:tab w:val="num" w:pos="4335"/>
        </w:tabs>
        <w:ind w:left="4335" w:hanging="1095"/>
      </w:pPr>
      <w:rPr>
        <w:rFonts w:hint="default"/>
      </w:rPr>
    </w:lvl>
    <w:lvl w:ilvl="3">
      <w:start w:val="1"/>
      <w:numFmt w:val="decimal"/>
      <w:lvlText w:val="%1.%2.%3.%4"/>
      <w:lvlJc w:val="left"/>
      <w:pPr>
        <w:tabs>
          <w:tab w:val="num" w:pos="5955"/>
        </w:tabs>
        <w:ind w:left="5955" w:hanging="1095"/>
      </w:pPr>
      <w:rPr>
        <w:rFonts w:hint="default"/>
      </w:rPr>
    </w:lvl>
    <w:lvl w:ilvl="4">
      <w:start w:val="1"/>
      <w:numFmt w:val="decimal"/>
      <w:lvlText w:val="%1.%2.%3.%4.%5"/>
      <w:lvlJc w:val="left"/>
      <w:pPr>
        <w:tabs>
          <w:tab w:val="num" w:pos="7575"/>
        </w:tabs>
        <w:ind w:left="7575" w:hanging="1095"/>
      </w:pPr>
      <w:rPr>
        <w:rFonts w:hint="default"/>
      </w:rPr>
    </w:lvl>
    <w:lvl w:ilvl="5">
      <w:start w:val="1"/>
      <w:numFmt w:val="decimal"/>
      <w:lvlText w:val="%1.%2.%3.%4.%5.%6"/>
      <w:lvlJc w:val="left"/>
      <w:pPr>
        <w:tabs>
          <w:tab w:val="num" w:pos="9195"/>
        </w:tabs>
        <w:ind w:left="9195" w:hanging="1095"/>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
    <w:nsid w:val="3D5D4BDD"/>
    <w:multiLevelType w:val="multilevel"/>
    <w:tmpl w:val="269C7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2767058"/>
    <w:multiLevelType w:val="multilevel"/>
    <w:tmpl w:val="59B84D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E9A369B"/>
    <w:multiLevelType w:val="multilevel"/>
    <w:tmpl w:val="1C42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12B4F"/>
    <w:multiLevelType w:val="hybridMultilevel"/>
    <w:tmpl w:val="56E032AE"/>
    <w:lvl w:ilvl="0" w:tplc="F078CB0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F2D02FC"/>
    <w:multiLevelType w:val="multilevel"/>
    <w:tmpl w:val="752CB4E0"/>
    <w:lvl w:ilvl="0">
      <w:start w:val="77"/>
      <w:numFmt w:val="decimal"/>
      <w:lvlText w:val="%1"/>
      <w:lvlJc w:val="left"/>
      <w:pPr>
        <w:tabs>
          <w:tab w:val="num" w:pos="960"/>
        </w:tabs>
        <w:ind w:left="960" w:hanging="960"/>
      </w:pPr>
      <w:rPr>
        <w:rFonts w:hint="default"/>
      </w:rPr>
    </w:lvl>
    <w:lvl w:ilvl="1">
      <w:start w:val="2006"/>
      <w:numFmt w:val="decimal"/>
      <w:lvlText w:val="%1.%2"/>
      <w:lvlJc w:val="left"/>
      <w:pPr>
        <w:tabs>
          <w:tab w:val="num" w:pos="2700"/>
        </w:tabs>
        <w:ind w:left="2700" w:hanging="960"/>
      </w:pPr>
      <w:rPr>
        <w:rFonts w:hint="default"/>
      </w:rPr>
    </w:lvl>
    <w:lvl w:ilvl="2">
      <w:start w:val="1"/>
      <w:numFmt w:val="decimal"/>
      <w:lvlText w:val="%1.%2.%3"/>
      <w:lvlJc w:val="left"/>
      <w:pPr>
        <w:tabs>
          <w:tab w:val="num" w:pos="4440"/>
        </w:tabs>
        <w:ind w:left="4440" w:hanging="960"/>
      </w:pPr>
      <w:rPr>
        <w:rFonts w:hint="default"/>
      </w:rPr>
    </w:lvl>
    <w:lvl w:ilvl="3">
      <w:start w:val="1"/>
      <w:numFmt w:val="decimal"/>
      <w:lvlText w:val="%1.%2.%3.%4"/>
      <w:lvlJc w:val="left"/>
      <w:pPr>
        <w:tabs>
          <w:tab w:val="num" w:pos="6180"/>
        </w:tabs>
        <w:ind w:left="6180" w:hanging="96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720"/>
        </w:tabs>
        <w:ind w:left="15720" w:hanging="1800"/>
      </w:pPr>
      <w:rPr>
        <w:rFonts w:hint="default"/>
      </w:rPr>
    </w:lvl>
  </w:abstractNum>
  <w:abstractNum w:abstractNumId="8">
    <w:nsid w:val="66EF357A"/>
    <w:multiLevelType w:val="multilevel"/>
    <w:tmpl w:val="6BC84E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86D677B"/>
    <w:multiLevelType w:val="hybridMultilevel"/>
    <w:tmpl w:val="2FD69C14"/>
    <w:lvl w:ilvl="0" w:tplc="E2022BEA">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2"/>
  </w:num>
  <w:num w:numId="2">
    <w:abstractNumId w:val="7"/>
  </w:num>
  <w:num w:numId="3">
    <w:abstractNumId w:val="6"/>
  </w:num>
  <w:num w:numId="4">
    <w:abstractNumId w:val="1"/>
  </w:num>
  <w:num w:numId="5">
    <w:abstractNumId w:val="9"/>
  </w:num>
  <w:num w:numId="6">
    <w:abstractNumId w:val="3"/>
  </w:num>
  <w:num w:numId="7">
    <w:abstractNumId w:val="4"/>
  </w:num>
  <w:num w:numId="8">
    <w:abstractNumId w:val="8"/>
  </w:num>
  <w:num w:numId="9">
    <w:abstractNumId w:val="8"/>
    <w:lvlOverride w:ilvl="0">
      <w:lvl w:ilvl="0">
        <w:numFmt w:val="decimal"/>
        <w:lvlText w:val=""/>
        <w:lvlJc w:val="left"/>
      </w:lvl>
    </w:lvlOverride>
    <w:lvlOverride w:ilvl="1">
      <w:lvl w:ilvl="1">
        <w:numFmt w:val="decimal"/>
        <w:lvlText w:val="%2."/>
        <w:lvlJc w:val="left"/>
      </w:lvl>
    </w:lvlOverride>
  </w:num>
  <w:num w:numId="10">
    <w:abstractNumId w:val="8"/>
    <w:lvlOverride w:ilvl="0">
      <w:lvl w:ilvl="0">
        <w:numFmt w:val="decimal"/>
        <w:lvlText w:val=""/>
        <w:lvlJc w:val="left"/>
      </w:lvl>
    </w:lvlOverride>
    <w:lvlOverride w:ilvl="1">
      <w:lvl w:ilvl="1">
        <w:numFmt w:val="lowerLetter"/>
        <w:lvlText w:val="%2."/>
        <w:lvlJc w:val="left"/>
      </w:lvl>
    </w:lvlOverride>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731F"/>
    <w:rsid w:val="00000B65"/>
    <w:rsid w:val="00004C7D"/>
    <w:rsid w:val="00004F05"/>
    <w:rsid w:val="0000549D"/>
    <w:rsid w:val="00007955"/>
    <w:rsid w:val="00011225"/>
    <w:rsid w:val="00014A94"/>
    <w:rsid w:val="000160F3"/>
    <w:rsid w:val="00023241"/>
    <w:rsid w:val="000302B9"/>
    <w:rsid w:val="000343A6"/>
    <w:rsid w:val="00040181"/>
    <w:rsid w:val="00047DEF"/>
    <w:rsid w:val="000502DA"/>
    <w:rsid w:val="000526D2"/>
    <w:rsid w:val="0005753E"/>
    <w:rsid w:val="0006085F"/>
    <w:rsid w:val="000646F5"/>
    <w:rsid w:val="0007009B"/>
    <w:rsid w:val="000701B6"/>
    <w:rsid w:val="00084627"/>
    <w:rsid w:val="0008516E"/>
    <w:rsid w:val="00092F8F"/>
    <w:rsid w:val="00096DC9"/>
    <w:rsid w:val="000A0258"/>
    <w:rsid w:val="000A091E"/>
    <w:rsid w:val="000A154C"/>
    <w:rsid w:val="000A49B2"/>
    <w:rsid w:val="000A56E3"/>
    <w:rsid w:val="000B0314"/>
    <w:rsid w:val="000B0907"/>
    <w:rsid w:val="000B1785"/>
    <w:rsid w:val="000B1E97"/>
    <w:rsid w:val="000B237A"/>
    <w:rsid w:val="000B3FA3"/>
    <w:rsid w:val="000B5A12"/>
    <w:rsid w:val="000C6C44"/>
    <w:rsid w:val="000D76E3"/>
    <w:rsid w:val="000E012A"/>
    <w:rsid w:val="000E0DF2"/>
    <w:rsid w:val="000E2549"/>
    <w:rsid w:val="000F1D6F"/>
    <w:rsid w:val="000F573A"/>
    <w:rsid w:val="00100328"/>
    <w:rsid w:val="00101946"/>
    <w:rsid w:val="00102856"/>
    <w:rsid w:val="00105B31"/>
    <w:rsid w:val="00133013"/>
    <w:rsid w:val="001344F0"/>
    <w:rsid w:val="00134E2D"/>
    <w:rsid w:val="0014532F"/>
    <w:rsid w:val="00145BE9"/>
    <w:rsid w:val="00156CC4"/>
    <w:rsid w:val="0016099B"/>
    <w:rsid w:val="00162058"/>
    <w:rsid w:val="001656EE"/>
    <w:rsid w:val="00175296"/>
    <w:rsid w:val="00175730"/>
    <w:rsid w:val="001757C7"/>
    <w:rsid w:val="00176D7F"/>
    <w:rsid w:val="001815E5"/>
    <w:rsid w:val="0018433F"/>
    <w:rsid w:val="001871EE"/>
    <w:rsid w:val="00187F39"/>
    <w:rsid w:val="00190946"/>
    <w:rsid w:val="0019458E"/>
    <w:rsid w:val="001A2CE7"/>
    <w:rsid w:val="001A3E55"/>
    <w:rsid w:val="001A526C"/>
    <w:rsid w:val="001A6D8B"/>
    <w:rsid w:val="001A74A3"/>
    <w:rsid w:val="001B666F"/>
    <w:rsid w:val="001B6E28"/>
    <w:rsid w:val="001C0E01"/>
    <w:rsid w:val="001C13CC"/>
    <w:rsid w:val="001C268B"/>
    <w:rsid w:val="001D1AC6"/>
    <w:rsid w:val="001D38C3"/>
    <w:rsid w:val="001D3A9A"/>
    <w:rsid w:val="001E75F3"/>
    <w:rsid w:val="001F3798"/>
    <w:rsid w:val="001F49C6"/>
    <w:rsid w:val="00207E2C"/>
    <w:rsid w:val="0021274F"/>
    <w:rsid w:val="00220A55"/>
    <w:rsid w:val="0022584C"/>
    <w:rsid w:val="002315C8"/>
    <w:rsid w:val="00231C23"/>
    <w:rsid w:val="00234BD2"/>
    <w:rsid w:val="00236547"/>
    <w:rsid w:val="002402AF"/>
    <w:rsid w:val="002563E3"/>
    <w:rsid w:val="00263E6E"/>
    <w:rsid w:val="00265453"/>
    <w:rsid w:val="002678A0"/>
    <w:rsid w:val="00267BC8"/>
    <w:rsid w:val="00272AC2"/>
    <w:rsid w:val="002838BD"/>
    <w:rsid w:val="00286C3F"/>
    <w:rsid w:val="0028751A"/>
    <w:rsid w:val="002911B7"/>
    <w:rsid w:val="00292A6D"/>
    <w:rsid w:val="00294CFB"/>
    <w:rsid w:val="002A4E1D"/>
    <w:rsid w:val="002A6C79"/>
    <w:rsid w:val="002D0EE1"/>
    <w:rsid w:val="002D27B3"/>
    <w:rsid w:val="002D2ED2"/>
    <w:rsid w:val="002E164F"/>
    <w:rsid w:val="002E64BE"/>
    <w:rsid w:val="002E7B47"/>
    <w:rsid w:val="002E7CD0"/>
    <w:rsid w:val="002F3E1C"/>
    <w:rsid w:val="002F653A"/>
    <w:rsid w:val="00300F33"/>
    <w:rsid w:val="00302CE7"/>
    <w:rsid w:val="003054B5"/>
    <w:rsid w:val="00307F5E"/>
    <w:rsid w:val="00315610"/>
    <w:rsid w:val="00315C9A"/>
    <w:rsid w:val="00315DA5"/>
    <w:rsid w:val="0032027E"/>
    <w:rsid w:val="0032635A"/>
    <w:rsid w:val="003269A3"/>
    <w:rsid w:val="00326D37"/>
    <w:rsid w:val="00335466"/>
    <w:rsid w:val="00340224"/>
    <w:rsid w:val="00345166"/>
    <w:rsid w:val="00346207"/>
    <w:rsid w:val="003466A3"/>
    <w:rsid w:val="00352742"/>
    <w:rsid w:val="00353F46"/>
    <w:rsid w:val="003572C9"/>
    <w:rsid w:val="00357733"/>
    <w:rsid w:val="003635D7"/>
    <w:rsid w:val="00366EF9"/>
    <w:rsid w:val="00370657"/>
    <w:rsid w:val="00372836"/>
    <w:rsid w:val="00372CBC"/>
    <w:rsid w:val="00374D4C"/>
    <w:rsid w:val="00375EA4"/>
    <w:rsid w:val="003778AB"/>
    <w:rsid w:val="0037798A"/>
    <w:rsid w:val="00377F5E"/>
    <w:rsid w:val="003832AE"/>
    <w:rsid w:val="00393301"/>
    <w:rsid w:val="00394153"/>
    <w:rsid w:val="00395BBA"/>
    <w:rsid w:val="00397AC9"/>
    <w:rsid w:val="00397C91"/>
    <w:rsid w:val="003A0631"/>
    <w:rsid w:val="003A2C9B"/>
    <w:rsid w:val="003A35FC"/>
    <w:rsid w:val="003A6354"/>
    <w:rsid w:val="003B05E9"/>
    <w:rsid w:val="003B0B57"/>
    <w:rsid w:val="003B3495"/>
    <w:rsid w:val="003B5656"/>
    <w:rsid w:val="003B6A1A"/>
    <w:rsid w:val="003C1B27"/>
    <w:rsid w:val="003C32BA"/>
    <w:rsid w:val="003C3DBA"/>
    <w:rsid w:val="003C47E9"/>
    <w:rsid w:val="003C67A0"/>
    <w:rsid w:val="003D3578"/>
    <w:rsid w:val="003E0605"/>
    <w:rsid w:val="003E5176"/>
    <w:rsid w:val="003E6418"/>
    <w:rsid w:val="003F26E7"/>
    <w:rsid w:val="003F3C5B"/>
    <w:rsid w:val="003F550C"/>
    <w:rsid w:val="00400721"/>
    <w:rsid w:val="0040425F"/>
    <w:rsid w:val="00404F21"/>
    <w:rsid w:val="00405CEF"/>
    <w:rsid w:val="004110B6"/>
    <w:rsid w:val="00411197"/>
    <w:rsid w:val="00411605"/>
    <w:rsid w:val="00414940"/>
    <w:rsid w:val="004158B9"/>
    <w:rsid w:val="00421E51"/>
    <w:rsid w:val="00422B22"/>
    <w:rsid w:val="004234E6"/>
    <w:rsid w:val="00423931"/>
    <w:rsid w:val="00423980"/>
    <w:rsid w:val="00425BDA"/>
    <w:rsid w:val="00426B39"/>
    <w:rsid w:val="004275E0"/>
    <w:rsid w:val="00427805"/>
    <w:rsid w:val="0043104B"/>
    <w:rsid w:val="00431EB8"/>
    <w:rsid w:val="00432B2B"/>
    <w:rsid w:val="00433544"/>
    <w:rsid w:val="00433995"/>
    <w:rsid w:val="00435F7D"/>
    <w:rsid w:val="00444F27"/>
    <w:rsid w:val="00446FEC"/>
    <w:rsid w:val="00447634"/>
    <w:rsid w:val="00453944"/>
    <w:rsid w:val="00454386"/>
    <w:rsid w:val="00455173"/>
    <w:rsid w:val="00456539"/>
    <w:rsid w:val="004608FE"/>
    <w:rsid w:val="004674FC"/>
    <w:rsid w:val="00470CDC"/>
    <w:rsid w:val="00473999"/>
    <w:rsid w:val="0048133E"/>
    <w:rsid w:val="004844F8"/>
    <w:rsid w:val="00487E2C"/>
    <w:rsid w:val="0049577D"/>
    <w:rsid w:val="004978FE"/>
    <w:rsid w:val="00497AA3"/>
    <w:rsid w:val="004A191D"/>
    <w:rsid w:val="004A2FED"/>
    <w:rsid w:val="004A3AF4"/>
    <w:rsid w:val="004A44AF"/>
    <w:rsid w:val="004B6EF5"/>
    <w:rsid w:val="004B7C94"/>
    <w:rsid w:val="004C07EA"/>
    <w:rsid w:val="004C3BF8"/>
    <w:rsid w:val="004C5917"/>
    <w:rsid w:val="004D022C"/>
    <w:rsid w:val="004D3389"/>
    <w:rsid w:val="004D5209"/>
    <w:rsid w:val="004D5DD7"/>
    <w:rsid w:val="004D7E29"/>
    <w:rsid w:val="004E5FCE"/>
    <w:rsid w:val="004F0902"/>
    <w:rsid w:val="004F306E"/>
    <w:rsid w:val="005026B7"/>
    <w:rsid w:val="00502DF9"/>
    <w:rsid w:val="00514D01"/>
    <w:rsid w:val="005155B6"/>
    <w:rsid w:val="00516BDE"/>
    <w:rsid w:val="00517C36"/>
    <w:rsid w:val="00525C00"/>
    <w:rsid w:val="00526707"/>
    <w:rsid w:val="0052684A"/>
    <w:rsid w:val="00526906"/>
    <w:rsid w:val="005346E5"/>
    <w:rsid w:val="00534EA1"/>
    <w:rsid w:val="00541C78"/>
    <w:rsid w:val="00547B20"/>
    <w:rsid w:val="005503FD"/>
    <w:rsid w:val="005547E8"/>
    <w:rsid w:val="005555C8"/>
    <w:rsid w:val="00562828"/>
    <w:rsid w:val="005714A6"/>
    <w:rsid w:val="00572E4A"/>
    <w:rsid w:val="005735A6"/>
    <w:rsid w:val="005826FA"/>
    <w:rsid w:val="00582CC4"/>
    <w:rsid w:val="00587373"/>
    <w:rsid w:val="00594B3B"/>
    <w:rsid w:val="005A08F7"/>
    <w:rsid w:val="005A2CFF"/>
    <w:rsid w:val="005A44D4"/>
    <w:rsid w:val="005B21FD"/>
    <w:rsid w:val="005B3F7A"/>
    <w:rsid w:val="005B7EC9"/>
    <w:rsid w:val="005C4FE3"/>
    <w:rsid w:val="005C6856"/>
    <w:rsid w:val="005D5BF6"/>
    <w:rsid w:val="005E1559"/>
    <w:rsid w:val="005E3369"/>
    <w:rsid w:val="005E388E"/>
    <w:rsid w:val="005E69D9"/>
    <w:rsid w:val="005E7C63"/>
    <w:rsid w:val="005F1F30"/>
    <w:rsid w:val="005F2B5B"/>
    <w:rsid w:val="005F5D84"/>
    <w:rsid w:val="005F633F"/>
    <w:rsid w:val="00600F32"/>
    <w:rsid w:val="0061075F"/>
    <w:rsid w:val="0061597C"/>
    <w:rsid w:val="00620947"/>
    <w:rsid w:val="00621090"/>
    <w:rsid w:val="0062130E"/>
    <w:rsid w:val="00621A96"/>
    <w:rsid w:val="00622482"/>
    <w:rsid w:val="0062731F"/>
    <w:rsid w:val="00636649"/>
    <w:rsid w:val="006413DC"/>
    <w:rsid w:val="00642851"/>
    <w:rsid w:val="006518DD"/>
    <w:rsid w:val="00651D1C"/>
    <w:rsid w:val="006524E2"/>
    <w:rsid w:val="00653ABD"/>
    <w:rsid w:val="00655425"/>
    <w:rsid w:val="0066133D"/>
    <w:rsid w:val="00670330"/>
    <w:rsid w:val="00670590"/>
    <w:rsid w:val="0067066F"/>
    <w:rsid w:val="00671B98"/>
    <w:rsid w:val="0067347D"/>
    <w:rsid w:val="006828EB"/>
    <w:rsid w:val="00685B57"/>
    <w:rsid w:val="0068755C"/>
    <w:rsid w:val="0069458C"/>
    <w:rsid w:val="006A202B"/>
    <w:rsid w:val="006A4896"/>
    <w:rsid w:val="006A5005"/>
    <w:rsid w:val="006A52A9"/>
    <w:rsid w:val="006B1E08"/>
    <w:rsid w:val="006B517C"/>
    <w:rsid w:val="006C1477"/>
    <w:rsid w:val="006C16AC"/>
    <w:rsid w:val="006E0D2E"/>
    <w:rsid w:val="006E1E57"/>
    <w:rsid w:val="006E6C2C"/>
    <w:rsid w:val="006F35A3"/>
    <w:rsid w:val="006F764D"/>
    <w:rsid w:val="007022A1"/>
    <w:rsid w:val="007208FD"/>
    <w:rsid w:val="00720F16"/>
    <w:rsid w:val="00723E5E"/>
    <w:rsid w:val="00724C4B"/>
    <w:rsid w:val="0072712A"/>
    <w:rsid w:val="00731226"/>
    <w:rsid w:val="0073634E"/>
    <w:rsid w:val="00740AB4"/>
    <w:rsid w:val="0074135C"/>
    <w:rsid w:val="0074156E"/>
    <w:rsid w:val="00741AF6"/>
    <w:rsid w:val="00751C46"/>
    <w:rsid w:val="007577BB"/>
    <w:rsid w:val="007648A2"/>
    <w:rsid w:val="00765003"/>
    <w:rsid w:val="00771708"/>
    <w:rsid w:val="007807BE"/>
    <w:rsid w:val="00783097"/>
    <w:rsid w:val="007845D7"/>
    <w:rsid w:val="00790089"/>
    <w:rsid w:val="00791B73"/>
    <w:rsid w:val="007A5710"/>
    <w:rsid w:val="007A7177"/>
    <w:rsid w:val="007B3122"/>
    <w:rsid w:val="007B4CD6"/>
    <w:rsid w:val="007C0BF7"/>
    <w:rsid w:val="007C26F1"/>
    <w:rsid w:val="007D0B35"/>
    <w:rsid w:val="007D57AE"/>
    <w:rsid w:val="007E588D"/>
    <w:rsid w:val="007E6713"/>
    <w:rsid w:val="008049E2"/>
    <w:rsid w:val="0080623C"/>
    <w:rsid w:val="00810F31"/>
    <w:rsid w:val="00811143"/>
    <w:rsid w:val="00814942"/>
    <w:rsid w:val="00815EE4"/>
    <w:rsid w:val="008164B3"/>
    <w:rsid w:val="00817E13"/>
    <w:rsid w:val="008200D1"/>
    <w:rsid w:val="00822DDD"/>
    <w:rsid w:val="00837C79"/>
    <w:rsid w:val="00837ED6"/>
    <w:rsid w:val="00842CE5"/>
    <w:rsid w:val="00842E2C"/>
    <w:rsid w:val="0085296A"/>
    <w:rsid w:val="00854A78"/>
    <w:rsid w:val="00854B05"/>
    <w:rsid w:val="008643A1"/>
    <w:rsid w:val="0086596D"/>
    <w:rsid w:val="008741EE"/>
    <w:rsid w:val="00875269"/>
    <w:rsid w:val="0087674E"/>
    <w:rsid w:val="008826D1"/>
    <w:rsid w:val="00885D07"/>
    <w:rsid w:val="008A2CCE"/>
    <w:rsid w:val="008A339F"/>
    <w:rsid w:val="008A7558"/>
    <w:rsid w:val="008A7F1D"/>
    <w:rsid w:val="008B3154"/>
    <w:rsid w:val="008B32A8"/>
    <w:rsid w:val="008B68E6"/>
    <w:rsid w:val="008B7DE2"/>
    <w:rsid w:val="008C40A0"/>
    <w:rsid w:val="008C7B78"/>
    <w:rsid w:val="008D1912"/>
    <w:rsid w:val="008D1930"/>
    <w:rsid w:val="008D2B5E"/>
    <w:rsid w:val="008D40A6"/>
    <w:rsid w:val="008E46B9"/>
    <w:rsid w:val="008F0786"/>
    <w:rsid w:val="008F25D1"/>
    <w:rsid w:val="008F3E00"/>
    <w:rsid w:val="008F7339"/>
    <w:rsid w:val="00901583"/>
    <w:rsid w:val="00902E62"/>
    <w:rsid w:val="00906BD6"/>
    <w:rsid w:val="00910464"/>
    <w:rsid w:val="00914C45"/>
    <w:rsid w:val="0092023A"/>
    <w:rsid w:val="00922B7C"/>
    <w:rsid w:val="009241B4"/>
    <w:rsid w:val="0092794C"/>
    <w:rsid w:val="009302B9"/>
    <w:rsid w:val="0093059F"/>
    <w:rsid w:val="00930644"/>
    <w:rsid w:val="00932976"/>
    <w:rsid w:val="00933911"/>
    <w:rsid w:val="00936279"/>
    <w:rsid w:val="009364E8"/>
    <w:rsid w:val="00937964"/>
    <w:rsid w:val="009423FA"/>
    <w:rsid w:val="00943388"/>
    <w:rsid w:val="00943DF5"/>
    <w:rsid w:val="00944BDB"/>
    <w:rsid w:val="0095016A"/>
    <w:rsid w:val="00953868"/>
    <w:rsid w:val="00954AA2"/>
    <w:rsid w:val="00961433"/>
    <w:rsid w:val="009644E4"/>
    <w:rsid w:val="009658CC"/>
    <w:rsid w:val="00965CF3"/>
    <w:rsid w:val="009713CB"/>
    <w:rsid w:val="00971632"/>
    <w:rsid w:val="00972DF6"/>
    <w:rsid w:val="0097432E"/>
    <w:rsid w:val="00974A32"/>
    <w:rsid w:val="00976070"/>
    <w:rsid w:val="0098110D"/>
    <w:rsid w:val="009832D2"/>
    <w:rsid w:val="00983514"/>
    <w:rsid w:val="0098366D"/>
    <w:rsid w:val="00985B98"/>
    <w:rsid w:val="009903AF"/>
    <w:rsid w:val="00990C69"/>
    <w:rsid w:val="00993513"/>
    <w:rsid w:val="00993650"/>
    <w:rsid w:val="009959F9"/>
    <w:rsid w:val="009962C1"/>
    <w:rsid w:val="009968F5"/>
    <w:rsid w:val="00996A68"/>
    <w:rsid w:val="009A0582"/>
    <w:rsid w:val="009A6D2D"/>
    <w:rsid w:val="009B052C"/>
    <w:rsid w:val="009B1075"/>
    <w:rsid w:val="009B6E46"/>
    <w:rsid w:val="009B6F9C"/>
    <w:rsid w:val="009C15DB"/>
    <w:rsid w:val="009C22AA"/>
    <w:rsid w:val="009C4355"/>
    <w:rsid w:val="009C4EA8"/>
    <w:rsid w:val="009C5FB0"/>
    <w:rsid w:val="009C6739"/>
    <w:rsid w:val="009D2BB5"/>
    <w:rsid w:val="009D5D69"/>
    <w:rsid w:val="009D6DDF"/>
    <w:rsid w:val="009D71BD"/>
    <w:rsid w:val="009E3780"/>
    <w:rsid w:val="009E66F9"/>
    <w:rsid w:val="009F4A4F"/>
    <w:rsid w:val="00A00F11"/>
    <w:rsid w:val="00A0260A"/>
    <w:rsid w:val="00A106F3"/>
    <w:rsid w:val="00A12490"/>
    <w:rsid w:val="00A146F5"/>
    <w:rsid w:val="00A164DD"/>
    <w:rsid w:val="00A2006A"/>
    <w:rsid w:val="00A21799"/>
    <w:rsid w:val="00A21D31"/>
    <w:rsid w:val="00A33811"/>
    <w:rsid w:val="00A3411B"/>
    <w:rsid w:val="00A345AC"/>
    <w:rsid w:val="00A42771"/>
    <w:rsid w:val="00A44AD9"/>
    <w:rsid w:val="00A4594F"/>
    <w:rsid w:val="00A5041F"/>
    <w:rsid w:val="00A51255"/>
    <w:rsid w:val="00A55CF8"/>
    <w:rsid w:val="00A57216"/>
    <w:rsid w:val="00A74768"/>
    <w:rsid w:val="00A7556F"/>
    <w:rsid w:val="00A76090"/>
    <w:rsid w:val="00A82713"/>
    <w:rsid w:val="00A85481"/>
    <w:rsid w:val="00A91412"/>
    <w:rsid w:val="00A9488C"/>
    <w:rsid w:val="00A953F1"/>
    <w:rsid w:val="00A97782"/>
    <w:rsid w:val="00AA409E"/>
    <w:rsid w:val="00AA54A1"/>
    <w:rsid w:val="00AB07F0"/>
    <w:rsid w:val="00AB1C61"/>
    <w:rsid w:val="00AB24B3"/>
    <w:rsid w:val="00AB346C"/>
    <w:rsid w:val="00AB48A0"/>
    <w:rsid w:val="00AC00AB"/>
    <w:rsid w:val="00AC05DD"/>
    <w:rsid w:val="00AC12E7"/>
    <w:rsid w:val="00AC3E74"/>
    <w:rsid w:val="00AD09D0"/>
    <w:rsid w:val="00AD72F9"/>
    <w:rsid w:val="00AE4FB3"/>
    <w:rsid w:val="00AE7269"/>
    <w:rsid w:val="00AF6958"/>
    <w:rsid w:val="00B034F7"/>
    <w:rsid w:val="00B10C12"/>
    <w:rsid w:val="00B12121"/>
    <w:rsid w:val="00B17583"/>
    <w:rsid w:val="00B23565"/>
    <w:rsid w:val="00B2390D"/>
    <w:rsid w:val="00B24F94"/>
    <w:rsid w:val="00B26522"/>
    <w:rsid w:val="00B2695D"/>
    <w:rsid w:val="00B31AA7"/>
    <w:rsid w:val="00B32683"/>
    <w:rsid w:val="00B4080B"/>
    <w:rsid w:val="00B43218"/>
    <w:rsid w:val="00B4676C"/>
    <w:rsid w:val="00B531F9"/>
    <w:rsid w:val="00B556A6"/>
    <w:rsid w:val="00B55A05"/>
    <w:rsid w:val="00B6285E"/>
    <w:rsid w:val="00B63A83"/>
    <w:rsid w:val="00B70909"/>
    <w:rsid w:val="00B71F48"/>
    <w:rsid w:val="00B80CFA"/>
    <w:rsid w:val="00B81BD9"/>
    <w:rsid w:val="00B83ADD"/>
    <w:rsid w:val="00B94E46"/>
    <w:rsid w:val="00B969FE"/>
    <w:rsid w:val="00B97D10"/>
    <w:rsid w:val="00BA16DC"/>
    <w:rsid w:val="00BA4EFA"/>
    <w:rsid w:val="00BA71B4"/>
    <w:rsid w:val="00BC1CED"/>
    <w:rsid w:val="00BC379A"/>
    <w:rsid w:val="00BD0B17"/>
    <w:rsid w:val="00BD1630"/>
    <w:rsid w:val="00BD38C7"/>
    <w:rsid w:val="00BD38F4"/>
    <w:rsid w:val="00BD4895"/>
    <w:rsid w:val="00BD5291"/>
    <w:rsid w:val="00BD762F"/>
    <w:rsid w:val="00BE61A9"/>
    <w:rsid w:val="00BF569F"/>
    <w:rsid w:val="00C017E2"/>
    <w:rsid w:val="00C03DAA"/>
    <w:rsid w:val="00C03FF0"/>
    <w:rsid w:val="00C115EF"/>
    <w:rsid w:val="00C13786"/>
    <w:rsid w:val="00C20CC4"/>
    <w:rsid w:val="00C23575"/>
    <w:rsid w:val="00C25852"/>
    <w:rsid w:val="00C25AF1"/>
    <w:rsid w:val="00C2623C"/>
    <w:rsid w:val="00C30FB8"/>
    <w:rsid w:val="00C32897"/>
    <w:rsid w:val="00C3675B"/>
    <w:rsid w:val="00C37F13"/>
    <w:rsid w:val="00C40AAC"/>
    <w:rsid w:val="00C42F99"/>
    <w:rsid w:val="00C43B8D"/>
    <w:rsid w:val="00C524A6"/>
    <w:rsid w:val="00C566A8"/>
    <w:rsid w:val="00C5797F"/>
    <w:rsid w:val="00C64406"/>
    <w:rsid w:val="00C66104"/>
    <w:rsid w:val="00C72111"/>
    <w:rsid w:val="00C73A61"/>
    <w:rsid w:val="00C747DB"/>
    <w:rsid w:val="00C7633C"/>
    <w:rsid w:val="00C77606"/>
    <w:rsid w:val="00C80E36"/>
    <w:rsid w:val="00C81126"/>
    <w:rsid w:val="00C81B33"/>
    <w:rsid w:val="00C82B93"/>
    <w:rsid w:val="00C84F69"/>
    <w:rsid w:val="00C86525"/>
    <w:rsid w:val="00C87B99"/>
    <w:rsid w:val="00C93EB6"/>
    <w:rsid w:val="00C95783"/>
    <w:rsid w:val="00C95AAA"/>
    <w:rsid w:val="00C96B45"/>
    <w:rsid w:val="00CA1468"/>
    <w:rsid w:val="00CA28D9"/>
    <w:rsid w:val="00CA77F8"/>
    <w:rsid w:val="00CB1370"/>
    <w:rsid w:val="00CC1FA0"/>
    <w:rsid w:val="00CC4AA8"/>
    <w:rsid w:val="00CC4F5C"/>
    <w:rsid w:val="00CD039F"/>
    <w:rsid w:val="00CD2CE3"/>
    <w:rsid w:val="00CE0814"/>
    <w:rsid w:val="00CE1196"/>
    <w:rsid w:val="00CE41C1"/>
    <w:rsid w:val="00CF2DC9"/>
    <w:rsid w:val="00CF3A62"/>
    <w:rsid w:val="00D008F0"/>
    <w:rsid w:val="00D0193C"/>
    <w:rsid w:val="00D16A34"/>
    <w:rsid w:val="00D20F7F"/>
    <w:rsid w:val="00D24613"/>
    <w:rsid w:val="00D25075"/>
    <w:rsid w:val="00D251C8"/>
    <w:rsid w:val="00D370D6"/>
    <w:rsid w:val="00D50F54"/>
    <w:rsid w:val="00D51E12"/>
    <w:rsid w:val="00D51ECC"/>
    <w:rsid w:val="00D5417B"/>
    <w:rsid w:val="00D55262"/>
    <w:rsid w:val="00D56164"/>
    <w:rsid w:val="00D61716"/>
    <w:rsid w:val="00D63116"/>
    <w:rsid w:val="00D643C9"/>
    <w:rsid w:val="00D668AE"/>
    <w:rsid w:val="00D67E95"/>
    <w:rsid w:val="00D714C5"/>
    <w:rsid w:val="00D72A06"/>
    <w:rsid w:val="00D73E15"/>
    <w:rsid w:val="00D744EE"/>
    <w:rsid w:val="00D8119D"/>
    <w:rsid w:val="00D8198A"/>
    <w:rsid w:val="00D830B0"/>
    <w:rsid w:val="00D839BD"/>
    <w:rsid w:val="00D84880"/>
    <w:rsid w:val="00D86488"/>
    <w:rsid w:val="00D9206E"/>
    <w:rsid w:val="00D933D6"/>
    <w:rsid w:val="00DA0405"/>
    <w:rsid w:val="00DB205E"/>
    <w:rsid w:val="00DB5A87"/>
    <w:rsid w:val="00DB7420"/>
    <w:rsid w:val="00DC1C95"/>
    <w:rsid w:val="00DD37BB"/>
    <w:rsid w:val="00DD4C96"/>
    <w:rsid w:val="00DE1460"/>
    <w:rsid w:val="00DE6AAC"/>
    <w:rsid w:val="00DE6C0F"/>
    <w:rsid w:val="00DF021F"/>
    <w:rsid w:val="00DF2D14"/>
    <w:rsid w:val="00DF3014"/>
    <w:rsid w:val="00DF305C"/>
    <w:rsid w:val="00DF32F5"/>
    <w:rsid w:val="00E0060B"/>
    <w:rsid w:val="00E0137F"/>
    <w:rsid w:val="00E01401"/>
    <w:rsid w:val="00E01A34"/>
    <w:rsid w:val="00E028F3"/>
    <w:rsid w:val="00E02C6E"/>
    <w:rsid w:val="00E059D3"/>
    <w:rsid w:val="00E0602C"/>
    <w:rsid w:val="00E14D0B"/>
    <w:rsid w:val="00E16DF5"/>
    <w:rsid w:val="00E20299"/>
    <w:rsid w:val="00E242E2"/>
    <w:rsid w:val="00E24D71"/>
    <w:rsid w:val="00E25878"/>
    <w:rsid w:val="00E30F22"/>
    <w:rsid w:val="00E349CD"/>
    <w:rsid w:val="00E4248D"/>
    <w:rsid w:val="00E4305A"/>
    <w:rsid w:val="00E433E7"/>
    <w:rsid w:val="00E43AD6"/>
    <w:rsid w:val="00E44E48"/>
    <w:rsid w:val="00E5319D"/>
    <w:rsid w:val="00E556D3"/>
    <w:rsid w:val="00E56291"/>
    <w:rsid w:val="00E5756D"/>
    <w:rsid w:val="00E57E65"/>
    <w:rsid w:val="00E61475"/>
    <w:rsid w:val="00E65B28"/>
    <w:rsid w:val="00E67F59"/>
    <w:rsid w:val="00E67FA5"/>
    <w:rsid w:val="00E7032A"/>
    <w:rsid w:val="00E706C9"/>
    <w:rsid w:val="00E7457E"/>
    <w:rsid w:val="00E843D9"/>
    <w:rsid w:val="00E9399D"/>
    <w:rsid w:val="00E9783B"/>
    <w:rsid w:val="00EA37B9"/>
    <w:rsid w:val="00EA3978"/>
    <w:rsid w:val="00EA5EE1"/>
    <w:rsid w:val="00EB63D8"/>
    <w:rsid w:val="00EB65E8"/>
    <w:rsid w:val="00EC3853"/>
    <w:rsid w:val="00EC5D85"/>
    <w:rsid w:val="00EC67D5"/>
    <w:rsid w:val="00EE0B71"/>
    <w:rsid w:val="00EE694F"/>
    <w:rsid w:val="00EF099D"/>
    <w:rsid w:val="00EF345A"/>
    <w:rsid w:val="00F02C99"/>
    <w:rsid w:val="00F03046"/>
    <w:rsid w:val="00F03251"/>
    <w:rsid w:val="00F07824"/>
    <w:rsid w:val="00F107D1"/>
    <w:rsid w:val="00F10FE0"/>
    <w:rsid w:val="00F117A8"/>
    <w:rsid w:val="00F11D0D"/>
    <w:rsid w:val="00F12554"/>
    <w:rsid w:val="00F20DC8"/>
    <w:rsid w:val="00F21D47"/>
    <w:rsid w:val="00F25840"/>
    <w:rsid w:val="00F26435"/>
    <w:rsid w:val="00F26599"/>
    <w:rsid w:val="00F275B9"/>
    <w:rsid w:val="00F308B2"/>
    <w:rsid w:val="00F328CD"/>
    <w:rsid w:val="00F32D17"/>
    <w:rsid w:val="00F343E7"/>
    <w:rsid w:val="00F34D05"/>
    <w:rsid w:val="00F403EB"/>
    <w:rsid w:val="00F41F7D"/>
    <w:rsid w:val="00F52ADA"/>
    <w:rsid w:val="00F52B2C"/>
    <w:rsid w:val="00F53148"/>
    <w:rsid w:val="00F53B2A"/>
    <w:rsid w:val="00F53D9E"/>
    <w:rsid w:val="00F56EFD"/>
    <w:rsid w:val="00F57016"/>
    <w:rsid w:val="00F577CF"/>
    <w:rsid w:val="00F63DC1"/>
    <w:rsid w:val="00F707B5"/>
    <w:rsid w:val="00F73C13"/>
    <w:rsid w:val="00F75A64"/>
    <w:rsid w:val="00F7683A"/>
    <w:rsid w:val="00F76B27"/>
    <w:rsid w:val="00F86F58"/>
    <w:rsid w:val="00F87AE3"/>
    <w:rsid w:val="00F91115"/>
    <w:rsid w:val="00F928C0"/>
    <w:rsid w:val="00F92EA9"/>
    <w:rsid w:val="00F973CC"/>
    <w:rsid w:val="00FB2F33"/>
    <w:rsid w:val="00FB6BE1"/>
    <w:rsid w:val="00FC32D3"/>
    <w:rsid w:val="00FD18C1"/>
    <w:rsid w:val="00FD27D2"/>
    <w:rsid w:val="00FD5A5B"/>
    <w:rsid w:val="00FD5BA6"/>
    <w:rsid w:val="00FD71F2"/>
    <w:rsid w:val="00FE218F"/>
    <w:rsid w:val="00FE71C5"/>
    <w:rsid w:val="00FF06F5"/>
    <w:rsid w:val="00FF26EC"/>
    <w:rsid w:val="00FF4E55"/>
    <w:rsid w:val="00FF69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6A"/>
    <w:rPr>
      <w:sz w:val="24"/>
      <w:szCs w:val="24"/>
      <w:lang w:val="es-ES" w:eastAsia="es-ES"/>
    </w:rPr>
  </w:style>
  <w:style w:type="paragraph" w:styleId="Ttulo1">
    <w:name w:val="heading 1"/>
    <w:basedOn w:val="Normal"/>
    <w:next w:val="Normal"/>
    <w:qFormat/>
    <w:rsid w:val="0085296A"/>
    <w:pPr>
      <w:keepNext/>
      <w:outlineLvl w:val="0"/>
    </w:pPr>
    <w:rPr>
      <w:rFonts w:ascii="Arial" w:hAnsi="Arial" w:cs="Arial"/>
      <w:b/>
      <w:bCs/>
      <w:sz w:val="22"/>
    </w:rPr>
  </w:style>
  <w:style w:type="paragraph" w:styleId="Ttulo2">
    <w:name w:val="heading 2"/>
    <w:basedOn w:val="Normal"/>
    <w:next w:val="Normal"/>
    <w:qFormat/>
    <w:rsid w:val="0085296A"/>
    <w:pPr>
      <w:keepNext/>
      <w:outlineLvl w:val="1"/>
    </w:pPr>
    <w:rPr>
      <w:rFonts w:ascii="Arial" w:hAnsi="Arial" w:cs="Arial"/>
      <w:b/>
      <w:bCs/>
      <w:sz w:val="22"/>
      <w:u w:val="single"/>
    </w:rPr>
  </w:style>
  <w:style w:type="paragraph" w:styleId="Ttulo3">
    <w:name w:val="heading 3"/>
    <w:basedOn w:val="Normal"/>
    <w:next w:val="Normal"/>
    <w:qFormat/>
    <w:rsid w:val="0085296A"/>
    <w:pPr>
      <w:keepNext/>
      <w:ind w:left="720" w:hanging="720"/>
      <w:outlineLvl w:val="2"/>
    </w:pPr>
    <w:rPr>
      <w:rFonts w:ascii="Arial" w:hAnsi="Arial" w:cs="Arial"/>
      <w:b/>
      <w:bCs/>
      <w:sz w:val="22"/>
    </w:rPr>
  </w:style>
  <w:style w:type="paragraph" w:styleId="Ttulo4">
    <w:name w:val="heading 4"/>
    <w:basedOn w:val="Normal"/>
    <w:next w:val="Normal"/>
    <w:qFormat/>
    <w:rsid w:val="0085296A"/>
    <w:pPr>
      <w:keepNext/>
      <w:ind w:left="540" w:hanging="540"/>
      <w:outlineLvl w:val="3"/>
    </w:pPr>
    <w:rPr>
      <w:rFonts w:ascii="Arial" w:hAnsi="Arial" w:cs="Arial"/>
      <w:b/>
      <w:bCs/>
      <w:sz w:val="22"/>
      <w:lang w:val="en-US"/>
    </w:rPr>
  </w:style>
  <w:style w:type="paragraph" w:styleId="Ttulo5">
    <w:name w:val="heading 5"/>
    <w:basedOn w:val="Normal"/>
    <w:next w:val="Normal"/>
    <w:qFormat/>
    <w:rsid w:val="0085296A"/>
    <w:pPr>
      <w:keepNext/>
      <w:ind w:left="4860" w:hanging="900"/>
      <w:outlineLvl w:val="4"/>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85296A"/>
    <w:pPr>
      <w:ind w:left="720" w:hanging="720"/>
      <w:jc w:val="both"/>
    </w:pPr>
    <w:rPr>
      <w:rFonts w:ascii="Arial" w:hAnsi="Arial" w:cs="Arial"/>
      <w:b/>
      <w:bCs/>
      <w:sz w:val="22"/>
    </w:rPr>
  </w:style>
  <w:style w:type="paragraph" w:styleId="Sangra2detindependiente">
    <w:name w:val="Body Text Indent 2"/>
    <w:basedOn w:val="Normal"/>
    <w:semiHidden/>
    <w:rsid w:val="0085296A"/>
    <w:pPr>
      <w:ind w:left="540" w:hanging="540"/>
      <w:jc w:val="both"/>
    </w:pPr>
    <w:rPr>
      <w:rFonts w:ascii="Arial" w:hAnsi="Arial" w:cs="Arial"/>
      <w:sz w:val="22"/>
    </w:rPr>
  </w:style>
  <w:style w:type="paragraph" w:styleId="Sangra3detindependiente">
    <w:name w:val="Body Text Indent 3"/>
    <w:basedOn w:val="Normal"/>
    <w:semiHidden/>
    <w:rsid w:val="0085296A"/>
    <w:pPr>
      <w:ind w:left="4860" w:hanging="900"/>
    </w:pPr>
    <w:rPr>
      <w:rFonts w:ascii="Arial" w:hAnsi="Arial" w:cs="Arial"/>
      <w:sz w:val="22"/>
    </w:rPr>
  </w:style>
  <w:style w:type="paragraph" w:styleId="Encabezado">
    <w:name w:val="header"/>
    <w:basedOn w:val="Normal"/>
    <w:semiHidden/>
    <w:rsid w:val="0085296A"/>
    <w:pPr>
      <w:tabs>
        <w:tab w:val="center" w:pos="4419"/>
        <w:tab w:val="right" w:pos="8838"/>
      </w:tabs>
    </w:pPr>
  </w:style>
  <w:style w:type="character" w:styleId="Nmerodepgina">
    <w:name w:val="page number"/>
    <w:basedOn w:val="Fuentedeprrafopredeter"/>
    <w:semiHidden/>
    <w:rsid w:val="0085296A"/>
  </w:style>
  <w:style w:type="paragraph" w:styleId="NormalWeb">
    <w:name w:val="Normal (Web)"/>
    <w:basedOn w:val="Normal"/>
    <w:uiPriority w:val="99"/>
    <w:rsid w:val="0085296A"/>
    <w:pPr>
      <w:spacing w:before="100" w:beforeAutospacing="1" w:after="100" w:afterAutospacing="1"/>
    </w:pPr>
    <w:rPr>
      <w:rFonts w:ascii="Arial Unicode MS" w:eastAsia="Arial Unicode MS" w:hAnsi="Arial Unicode MS" w:cs="Arial Unicode MS"/>
    </w:rPr>
  </w:style>
  <w:style w:type="paragraph" w:customStyle="1" w:styleId="Estilo">
    <w:name w:val="Estilo"/>
    <w:rsid w:val="0085296A"/>
    <w:pPr>
      <w:widowControl w:val="0"/>
      <w:autoSpaceDE w:val="0"/>
      <w:autoSpaceDN w:val="0"/>
      <w:adjustRightInd w:val="0"/>
    </w:pPr>
    <w:rPr>
      <w:sz w:val="24"/>
      <w:szCs w:val="24"/>
      <w:lang w:val="es-ES" w:eastAsia="es-ES"/>
    </w:rPr>
  </w:style>
  <w:style w:type="character" w:styleId="Hipervnculo">
    <w:name w:val="Hyperlink"/>
    <w:basedOn w:val="Fuentedeprrafopredeter"/>
    <w:uiPriority w:val="99"/>
    <w:semiHidden/>
    <w:unhideWhenUsed/>
    <w:rsid w:val="00346207"/>
    <w:rPr>
      <w:color w:val="003399"/>
      <w:u w:val="single"/>
    </w:rPr>
  </w:style>
  <w:style w:type="paragraph" w:styleId="Textonotapie">
    <w:name w:val="footnote text"/>
    <w:basedOn w:val="Normal"/>
    <w:link w:val="TextonotapieCar"/>
    <w:uiPriority w:val="99"/>
    <w:semiHidden/>
    <w:unhideWhenUsed/>
    <w:rsid w:val="003054B5"/>
    <w:rPr>
      <w:sz w:val="20"/>
      <w:szCs w:val="20"/>
    </w:rPr>
  </w:style>
  <w:style w:type="character" w:customStyle="1" w:styleId="TextonotapieCar">
    <w:name w:val="Texto nota pie Car"/>
    <w:basedOn w:val="Fuentedeprrafopredeter"/>
    <w:link w:val="Textonotapie"/>
    <w:uiPriority w:val="99"/>
    <w:semiHidden/>
    <w:rsid w:val="003054B5"/>
    <w:rPr>
      <w:lang w:val="es-ES" w:eastAsia="es-ES"/>
    </w:rPr>
  </w:style>
  <w:style w:type="character" w:styleId="Refdenotaalpie">
    <w:name w:val="footnote reference"/>
    <w:basedOn w:val="Fuentedeprrafopredeter"/>
    <w:uiPriority w:val="99"/>
    <w:semiHidden/>
    <w:unhideWhenUsed/>
    <w:rsid w:val="003054B5"/>
    <w:rPr>
      <w:vertAlign w:val="superscript"/>
    </w:rPr>
  </w:style>
  <w:style w:type="character" w:styleId="Textoennegrita">
    <w:name w:val="Strong"/>
    <w:basedOn w:val="Fuentedeprrafopredeter"/>
    <w:uiPriority w:val="22"/>
    <w:qFormat/>
    <w:rsid w:val="00C3675B"/>
    <w:rPr>
      <w:b/>
      <w:bCs/>
    </w:rPr>
  </w:style>
  <w:style w:type="paragraph" w:styleId="HTMLconformatoprevio">
    <w:name w:val="HTML Preformatted"/>
    <w:basedOn w:val="Normal"/>
    <w:link w:val="HTMLconformatoprevioCar"/>
    <w:uiPriority w:val="99"/>
    <w:semiHidden/>
    <w:unhideWhenUsed/>
    <w:rsid w:val="00E2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2029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107826">
      <w:bodyDiv w:val="1"/>
      <w:marLeft w:val="0"/>
      <w:marRight w:val="0"/>
      <w:marTop w:val="0"/>
      <w:marBottom w:val="0"/>
      <w:divBdr>
        <w:top w:val="none" w:sz="0" w:space="0" w:color="auto"/>
        <w:left w:val="none" w:sz="0" w:space="0" w:color="auto"/>
        <w:bottom w:val="none" w:sz="0" w:space="0" w:color="auto"/>
        <w:right w:val="none" w:sz="0" w:space="0" w:color="auto"/>
      </w:divBdr>
      <w:divsChild>
        <w:div w:id="135510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033434">
      <w:bodyDiv w:val="1"/>
      <w:marLeft w:val="0"/>
      <w:marRight w:val="0"/>
      <w:marTop w:val="0"/>
      <w:marBottom w:val="0"/>
      <w:divBdr>
        <w:top w:val="single" w:sz="36" w:space="0" w:color="666666"/>
        <w:left w:val="none" w:sz="0" w:space="0" w:color="auto"/>
        <w:bottom w:val="none" w:sz="0" w:space="0" w:color="auto"/>
        <w:right w:val="none" w:sz="0" w:space="0" w:color="auto"/>
      </w:divBdr>
      <w:divsChild>
        <w:div w:id="296491441">
          <w:marLeft w:val="0"/>
          <w:marRight w:val="0"/>
          <w:marTop w:val="0"/>
          <w:marBottom w:val="0"/>
          <w:divBdr>
            <w:top w:val="single" w:sz="36" w:space="0" w:color="666666"/>
            <w:left w:val="none" w:sz="0" w:space="0" w:color="auto"/>
            <w:bottom w:val="none" w:sz="0" w:space="0" w:color="auto"/>
            <w:right w:val="none" w:sz="0" w:space="0" w:color="auto"/>
          </w:divBdr>
          <w:divsChild>
            <w:div w:id="674069316">
              <w:marLeft w:val="150"/>
              <w:marRight w:val="0"/>
              <w:marTop w:val="0"/>
              <w:marBottom w:val="0"/>
              <w:divBdr>
                <w:top w:val="none" w:sz="0" w:space="0" w:color="auto"/>
                <w:left w:val="none" w:sz="0" w:space="0" w:color="auto"/>
                <w:bottom w:val="none" w:sz="0" w:space="0" w:color="auto"/>
                <w:right w:val="none" w:sz="0" w:space="0" w:color="auto"/>
              </w:divBdr>
              <w:divsChild>
                <w:div w:id="502208121">
                  <w:marLeft w:val="0"/>
                  <w:marRight w:val="0"/>
                  <w:marTop w:val="0"/>
                  <w:marBottom w:val="0"/>
                  <w:divBdr>
                    <w:top w:val="single" w:sz="36" w:space="0" w:color="666666"/>
                    <w:left w:val="none" w:sz="0" w:space="0" w:color="auto"/>
                    <w:bottom w:val="none" w:sz="0" w:space="0" w:color="auto"/>
                    <w:right w:val="none" w:sz="0" w:space="0" w:color="auto"/>
                  </w:divBdr>
                  <w:divsChild>
                    <w:div w:id="132413002">
                      <w:marLeft w:val="0"/>
                      <w:marRight w:val="0"/>
                      <w:marTop w:val="0"/>
                      <w:marBottom w:val="0"/>
                      <w:divBdr>
                        <w:top w:val="single" w:sz="36" w:space="0" w:color="666666"/>
                        <w:left w:val="none" w:sz="0" w:space="0" w:color="auto"/>
                        <w:bottom w:val="none" w:sz="0" w:space="0" w:color="auto"/>
                        <w:right w:val="none" w:sz="0" w:space="0" w:color="auto"/>
                      </w:divBdr>
                      <w:divsChild>
                        <w:div w:id="1757359191">
                          <w:marLeft w:val="0"/>
                          <w:marRight w:val="0"/>
                          <w:marTop w:val="0"/>
                          <w:marBottom w:val="0"/>
                          <w:divBdr>
                            <w:top w:val="none" w:sz="0" w:space="0" w:color="auto"/>
                            <w:left w:val="none" w:sz="0" w:space="0" w:color="auto"/>
                            <w:bottom w:val="none" w:sz="0" w:space="0" w:color="auto"/>
                            <w:right w:val="none" w:sz="0" w:space="0" w:color="auto"/>
                          </w:divBdr>
                          <w:divsChild>
                            <w:div w:id="1672874604">
                              <w:marLeft w:val="0"/>
                              <w:marRight w:val="0"/>
                              <w:marTop w:val="0"/>
                              <w:marBottom w:val="0"/>
                              <w:divBdr>
                                <w:top w:val="none" w:sz="0" w:space="0" w:color="auto"/>
                                <w:left w:val="none" w:sz="0" w:space="0" w:color="auto"/>
                                <w:bottom w:val="none" w:sz="0" w:space="0" w:color="auto"/>
                                <w:right w:val="none" w:sz="0" w:space="0" w:color="auto"/>
                              </w:divBdr>
                              <w:divsChild>
                                <w:div w:id="1514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13593">
      <w:bodyDiv w:val="1"/>
      <w:marLeft w:val="0"/>
      <w:marRight w:val="0"/>
      <w:marTop w:val="0"/>
      <w:marBottom w:val="0"/>
      <w:divBdr>
        <w:top w:val="none" w:sz="0" w:space="0" w:color="auto"/>
        <w:left w:val="none" w:sz="0" w:space="0" w:color="auto"/>
        <w:bottom w:val="none" w:sz="0" w:space="0" w:color="auto"/>
        <w:right w:val="none" w:sz="0" w:space="0" w:color="auto"/>
      </w:divBdr>
    </w:div>
    <w:div w:id="1562017544">
      <w:bodyDiv w:val="1"/>
      <w:marLeft w:val="0"/>
      <w:marRight w:val="0"/>
      <w:marTop w:val="0"/>
      <w:marBottom w:val="0"/>
      <w:divBdr>
        <w:top w:val="none" w:sz="0" w:space="0" w:color="auto"/>
        <w:left w:val="none" w:sz="0" w:space="0" w:color="auto"/>
        <w:bottom w:val="none" w:sz="0" w:space="0" w:color="auto"/>
        <w:right w:val="none" w:sz="0" w:space="0" w:color="auto"/>
      </w:divBdr>
    </w:div>
    <w:div w:id="2122724606">
      <w:bodyDiv w:val="1"/>
      <w:marLeft w:val="0"/>
      <w:marRight w:val="0"/>
      <w:marTop w:val="0"/>
      <w:marBottom w:val="0"/>
      <w:divBdr>
        <w:top w:val="none" w:sz="0" w:space="0" w:color="auto"/>
        <w:left w:val="none" w:sz="0" w:space="0" w:color="auto"/>
        <w:bottom w:val="none" w:sz="0" w:space="0" w:color="auto"/>
        <w:right w:val="none" w:sz="0" w:space="0" w:color="auto"/>
      </w:divBdr>
      <w:divsChild>
        <w:div w:id="160676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606F-96FB-42EA-B196-A75266E1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SERVICIO DE IMPUESTOS INTERNOS</vt:lpstr>
    </vt:vector>
  </TitlesOfParts>
  <Company>Servicio de Impuestos Internos</Company>
  <LinksUpToDate>false</LinksUpToDate>
  <CharactersWithSpaces>4824</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IMPUESTOS INTERNOS</dc:title>
  <dc:subject/>
  <dc:creator>pbaraona</dc:creator>
  <cp:keywords/>
  <dc:description/>
  <cp:lastModifiedBy>SoporteSII</cp:lastModifiedBy>
  <cp:revision>2</cp:revision>
  <cp:lastPrinted>2012-02-28T13:08:00Z</cp:lastPrinted>
  <dcterms:created xsi:type="dcterms:W3CDTF">2012-10-30T21:57:00Z</dcterms:created>
  <dcterms:modified xsi:type="dcterms:W3CDTF">2012-10-30T21:57:00Z</dcterms:modified>
</cp:coreProperties>
</file>