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8ED" w:rsidRDefault="00CD08ED" w:rsidP="00CD08ED">
      <w:pPr>
        <w:ind w:hanging="2"/>
        <w:jc w:val="center"/>
        <w:rPr>
          <w:rFonts w:ascii="Times New Roman" w:hAnsi="Times New Roman"/>
          <w:b/>
          <w:bCs/>
          <w:szCs w:val="22"/>
        </w:rPr>
      </w:pPr>
    </w:p>
    <w:p w:rsidR="00CD08ED" w:rsidRDefault="00CD08ED" w:rsidP="00CD08ED">
      <w:pPr>
        <w:ind w:right="43"/>
        <w:jc w:val="center"/>
        <w:rPr>
          <w:rFonts w:ascii="Times New Roman" w:hAnsi="Times New Roman"/>
          <w:b/>
          <w:szCs w:val="22"/>
        </w:rPr>
      </w:pPr>
      <w:r w:rsidRPr="00EB563F">
        <w:rPr>
          <w:rFonts w:ascii="Times New Roman" w:hAnsi="Times New Roman"/>
          <w:b/>
          <w:szCs w:val="22"/>
        </w:rPr>
        <w:t>RENTA – ACTUAL LEY SOBRE IMPUESTO A LA –</w:t>
      </w:r>
      <w:r>
        <w:rPr>
          <w:rFonts w:ascii="Times New Roman" w:hAnsi="Times New Roman"/>
          <w:b/>
          <w:szCs w:val="22"/>
        </w:rPr>
        <w:t>ART. 41°, N°1, ART. 43°, N1, ART. 74°, N°1 – LEY N° 18.225, ART. 2 – D.L. N° 3.500, DE 1980. (ORD. N°2986, DE 31.10.2012)</w:t>
      </w:r>
    </w:p>
    <w:p w:rsidR="00CD08ED" w:rsidRPr="00CD08ED" w:rsidRDefault="00CD08ED" w:rsidP="00CD08ED">
      <w:pPr>
        <w:ind w:right="43"/>
        <w:jc w:val="center"/>
        <w:rPr>
          <w:rFonts w:ascii="Times New Roman" w:hAnsi="Times New Roman"/>
          <w:b/>
          <w:szCs w:val="22"/>
          <w:u w:val="single"/>
        </w:rPr>
      </w:pP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r>
        <w:rPr>
          <w:rFonts w:ascii="Times New Roman" w:hAnsi="Times New Roman"/>
          <w:b/>
          <w:szCs w:val="22"/>
          <w:u w:val="single"/>
        </w:rPr>
        <w:tab/>
      </w:r>
    </w:p>
    <w:p w:rsidR="00743E74" w:rsidRPr="00CF1454" w:rsidRDefault="0042495A" w:rsidP="00CF1454">
      <w:pPr>
        <w:ind w:hanging="2"/>
        <w:rPr>
          <w:rFonts w:ascii="Times New Roman" w:hAnsi="Times New Roman"/>
          <w:b/>
          <w:szCs w:val="22"/>
        </w:rPr>
      </w:pPr>
      <w:r w:rsidRPr="00122B79">
        <w:rPr>
          <w:rFonts w:ascii="Times New Roman" w:hAnsi="Times New Roman"/>
          <w:b/>
          <w:bCs/>
          <w:szCs w:val="22"/>
        </w:rPr>
        <w:tab/>
      </w:r>
      <w:r w:rsidR="00562E34" w:rsidRPr="00CF1454">
        <w:rPr>
          <w:rFonts w:ascii="Times New Roman" w:hAnsi="Times New Roman"/>
          <w:b/>
          <w:szCs w:val="22"/>
        </w:rPr>
        <w:t>T</w:t>
      </w:r>
      <w:r w:rsidR="007E74F0" w:rsidRPr="00CF1454">
        <w:rPr>
          <w:rFonts w:ascii="Times New Roman" w:hAnsi="Times New Roman"/>
          <w:b/>
          <w:szCs w:val="22"/>
        </w:rPr>
        <w:t>ratamiento tributario del excedente originado</w:t>
      </w:r>
      <w:r w:rsidR="00743E74" w:rsidRPr="00CF1454">
        <w:rPr>
          <w:rFonts w:ascii="Times New Roman" w:hAnsi="Times New Roman"/>
          <w:b/>
          <w:szCs w:val="22"/>
        </w:rPr>
        <w:t xml:space="preserve"> al</w:t>
      </w:r>
      <w:r w:rsidR="007E74F0" w:rsidRPr="00CF1454">
        <w:rPr>
          <w:rFonts w:ascii="Times New Roman" w:hAnsi="Times New Roman"/>
          <w:b/>
          <w:szCs w:val="22"/>
        </w:rPr>
        <w:t xml:space="preserve"> </w:t>
      </w:r>
      <w:r w:rsidR="00743E74" w:rsidRPr="00CF1454">
        <w:rPr>
          <w:rFonts w:ascii="Times New Roman" w:hAnsi="Times New Roman"/>
          <w:b/>
          <w:szCs w:val="22"/>
          <w:lang w:val="es-ES_tradnl"/>
        </w:rPr>
        <w:t xml:space="preserve">transferir </w:t>
      </w:r>
      <w:r w:rsidR="00FF678B" w:rsidRPr="00CF1454">
        <w:rPr>
          <w:rFonts w:ascii="Times New Roman" w:hAnsi="Times New Roman"/>
          <w:b/>
          <w:szCs w:val="22"/>
          <w:lang w:val="es-ES_tradnl"/>
        </w:rPr>
        <w:t xml:space="preserve">los fondos de la cuenta de capitalización individual </w:t>
      </w:r>
      <w:r w:rsidR="00743E74" w:rsidRPr="00CF1454">
        <w:rPr>
          <w:rFonts w:ascii="Times New Roman" w:hAnsi="Times New Roman"/>
          <w:b/>
          <w:szCs w:val="22"/>
          <w:lang w:val="es-ES_tradnl"/>
        </w:rPr>
        <w:t>a la institución de régimen previsional antiguo a la cual el interesado se incorpore</w:t>
      </w:r>
      <w:r w:rsidR="005167D7" w:rsidRPr="00CF1454">
        <w:rPr>
          <w:rFonts w:ascii="Times New Roman" w:hAnsi="Times New Roman"/>
          <w:b/>
          <w:szCs w:val="22"/>
          <w:lang w:val="es-ES_tradnl"/>
        </w:rPr>
        <w:t>,</w:t>
      </w:r>
      <w:r w:rsidR="00FF678B" w:rsidRPr="00CF1454">
        <w:rPr>
          <w:rFonts w:ascii="Times New Roman" w:hAnsi="Times New Roman"/>
          <w:b/>
          <w:szCs w:val="22"/>
        </w:rPr>
        <w:t xml:space="preserve"> con motivo de la desafiliación del sistema de pensiones, de acuerdo con </w:t>
      </w:r>
      <w:r w:rsidR="0067668F" w:rsidRPr="00CF1454">
        <w:rPr>
          <w:rFonts w:ascii="Times New Roman" w:hAnsi="Times New Roman"/>
          <w:b/>
          <w:szCs w:val="22"/>
        </w:rPr>
        <w:t xml:space="preserve">el artículo 1°, </w:t>
      </w:r>
      <w:r w:rsidR="00FF678B" w:rsidRPr="00CF1454">
        <w:rPr>
          <w:rFonts w:ascii="Times New Roman" w:hAnsi="Times New Roman"/>
          <w:b/>
          <w:szCs w:val="22"/>
        </w:rPr>
        <w:t>la Ley 18.225</w:t>
      </w:r>
      <w:r w:rsidR="00FF678B" w:rsidRPr="00CF1454">
        <w:rPr>
          <w:rFonts w:ascii="Times New Roman" w:hAnsi="Times New Roman"/>
          <w:b/>
          <w:szCs w:val="22"/>
          <w:lang w:val="es-ES_tradnl"/>
        </w:rPr>
        <w:t>.</w:t>
      </w:r>
    </w:p>
    <w:p w:rsidR="0042495A" w:rsidRPr="00122B79" w:rsidRDefault="0042495A">
      <w:pPr>
        <w:pStyle w:val="Ttulo7"/>
        <w:rPr>
          <w:rFonts w:ascii="Times New Roman" w:hAnsi="Times New Roman" w:cs="Times New Roman"/>
          <w:szCs w:val="22"/>
        </w:rPr>
      </w:pPr>
      <w:r w:rsidRPr="00122B79">
        <w:rPr>
          <w:rFonts w:ascii="Times New Roman" w:hAnsi="Times New Roman" w:cs="Times New Roman"/>
          <w:szCs w:val="22"/>
        </w:rPr>
        <w:t xml:space="preserve">         </w:t>
      </w:r>
    </w:p>
    <w:p w:rsidR="007B0A78" w:rsidRPr="00122B79" w:rsidRDefault="007B0A78" w:rsidP="00F74EA6">
      <w:pPr>
        <w:numPr>
          <w:ilvl w:val="0"/>
          <w:numId w:val="4"/>
        </w:numPr>
        <w:tabs>
          <w:tab w:val="left" w:pos="284"/>
        </w:tabs>
        <w:spacing w:before="240" w:after="240"/>
        <w:ind w:left="0" w:firstLine="0"/>
        <w:rPr>
          <w:rFonts w:ascii="Times New Roman" w:hAnsi="Times New Roman"/>
          <w:b/>
          <w:szCs w:val="22"/>
          <w:lang w:val="es-ES_tradnl"/>
        </w:rPr>
      </w:pPr>
      <w:r w:rsidRPr="00122B79">
        <w:rPr>
          <w:rFonts w:ascii="Times New Roman" w:hAnsi="Times New Roman"/>
          <w:b/>
          <w:szCs w:val="22"/>
          <w:lang w:val="es-ES_tradnl"/>
        </w:rPr>
        <w:t>ANTECEDENTES</w:t>
      </w:r>
      <w:r w:rsidR="003B2CC9" w:rsidRPr="00122B79">
        <w:rPr>
          <w:rFonts w:ascii="Times New Roman" w:hAnsi="Times New Roman"/>
          <w:b/>
          <w:szCs w:val="22"/>
          <w:lang w:val="es-ES_tradnl"/>
        </w:rPr>
        <w:t>.</w:t>
      </w:r>
    </w:p>
    <w:p w:rsidR="00D81F54" w:rsidRPr="00122B79" w:rsidRDefault="00A7625E">
      <w:pPr>
        <w:rPr>
          <w:rFonts w:ascii="Times New Roman" w:hAnsi="Times New Roman"/>
          <w:szCs w:val="22"/>
          <w:lang w:val="es-ES_tradnl"/>
        </w:rPr>
      </w:pPr>
      <w:r w:rsidRPr="00122B79">
        <w:rPr>
          <w:rFonts w:ascii="Times New Roman" w:hAnsi="Times New Roman"/>
          <w:szCs w:val="22"/>
          <w:lang w:val="es-ES_tradnl"/>
        </w:rPr>
        <w:t>De conformidad con el artículo 17</w:t>
      </w:r>
      <w:r w:rsidR="00F74EA6" w:rsidRPr="00122B79">
        <w:rPr>
          <w:rFonts w:ascii="Times New Roman" w:hAnsi="Times New Roman"/>
          <w:szCs w:val="22"/>
          <w:lang w:val="es-ES_tradnl"/>
        </w:rPr>
        <w:t>,</w:t>
      </w:r>
      <w:r w:rsidRPr="00122B79">
        <w:rPr>
          <w:rFonts w:ascii="Times New Roman" w:hAnsi="Times New Roman"/>
          <w:szCs w:val="22"/>
          <w:lang w:val="es-ES_tradnl"/>
        </w:rPr>
        <w:t xml:space="preserve"> del D.L. N°3500, de 1980, los trabajadores afiliados al sistema, menores de 65 años si son hombres, y menores de 60 años si son mujeres, </w:t>
      </w:r>
      <w:r w:rsidR="00F2327F" w:rsidRPr="00122B79">
        <w:rPr>
          <w:rFonts w:ascii="Times New Roman" w:hAnsi="Times New Roman"/>
          <w:szCs w:val="22"/>
          <w:lang w:val="es-ES_tradnl"/>
        </w:rPr>
        <w:t xml:space="preserve">están </w:t>
      </w:r>
      <w:r w:rsidRPr="00122B79">
        <w:rPr>
          <w:rFonts w:ascii="Times New Roman" w:hAnsi="Times New Roman"/>
          <w:szCs w:val="22"/>
          <w:lang w:val="es-ES_tradnl"/>
        </w:rPr>
        <w:t>obligados a cotizar en su cuenta de capitalización individual el 10% de sus remuneraciones y rentas imponibles, sin perjuicio de lo establecido para los afiliados voluntarios.</w:t>
      </w:r>
      <w:r w:rsidR="00F74EA6" w:rsidRPr="00122B79">
        <w:rPr>
          <w:rFonts w:ascii="Times New Roman" w:hAnsi="Times New Roman"/>
          <w:szCs w:val="22"/>
          <w:lang w:val="es-ES_tradnl"/>
        </w:rPr>
        <w:t xml:space="preserve"> </w:t>
      </w:r>
      <w:r w:rsidRPr="00122B79">
        <w:rPr>
          <w:rFonts w:ascii="Times New Roman" w:hAnsi="Times New Roman"/>
          <w:szCs w:val="22"/>
          <w:lang w:val="es-ES_tradnl"/>
        </w:rPr>
        <w:t>En este contexto, y de acuerdo con lo dispuesto por el artículo 18</w:t>
      </w:r>
      <w:r w:rsidR="005167D7" w:rsidRPr="00122B79">
        <w:rPr>
          <w:rFonts w:ascii="Times New Roman" w:hAnsi="Times New Roman"/>
          <w:szCs w:val="22"/>
          <w:lang w:val="es-ES_tradnl"/>
        </w:rPr>
        <w:t>,</w:t>
      </w:r>
      <w:r w:rsidRPr="00122B79">
        <w:rPr>
          <w:rFonts w:ascii="Times New Roman" w:hAnsi="Times New Roman"/>
          <w:szCs w:val="22"/>
          <w:lang w:val="es-ES_tradnl"/>
        </w:rPr>
        <w:t xml:space="preserve"> del mismo texto legal, la parte de la remuneración y renta imponible destinada al pago</w:t>
      </w:r>
      <w:r w:rsidR="00AD3378" w:rsidRPr="00122B79">
        <w:rPr>
          <w:rFonts w:ascii="Times New Roman" w:hAnsi="Times New Roman"/>
          <w:szCs w:val="22"/>
          <w:lang w:val="es-ES_tradnl"/>
        </w:rPr>
        <w:t xml:space="preserve"> de la referida cotización, se ent</w:t>
      </w:r>
      <w:r w:rsidR="00500A6B" w:rsidRPr="00122B79">
        <w:rPr>
          <w:rFonts w:ascii="Times New Roman" w:hAnsi="Times New Roman"/>
          <w:szCs w:val="22"/>
          <w:lang w:val="es-ES_tradnl"/>
        </w:rPr>
        <w:t>iende</w:t>
      </w:r>
      <w:r w:rsidR="00AD3378" w:rsidRPr="00122B79">
        <w:rPr>
          <w:rFonts w:ascii="Times New Roman" w:hAnsi="Times New Roman"/>
          <w:szCs w:val="22"/>
          <w:lang w:val="es-ES_tradnl"/>
        </w:rPr>
        <w:t xml:space="preserve"> comprendida dentro de las excepciones que contempla el N°1</w:t>
      </w:r>
      <w:r w:rsidR="00F74EA6" w:rsidRPr="00122B79">
        <w:rPr>
          <w:rFonts w:ascii="Times New Roman" w:hAnsi="Times New Roman"/>
          <w:szCs w:val="22"/>
          <w:lang w:val="es-ES_tradnl"/>
        </w:rPr>
        <w:t>,</w:t>
      </w:r>
      <w:r w:rsidR="00AD3378" w:rsidRPr="00122B79">
        <w:rPr>
          <w:rFonts w:ascii="Times New Roman" w:hAnsi="Times New Roman"/>
          <w:szCs w:val="22"/>
          <w:lang w:val="es-ES_tradnl"/>
        </w:rPr>
        <w:t xml:space="preserve"> del artículo 42</w:t>
      </w:r>
      <w:r w:rsidR="00F74EA6" w:rsidRPr="00122B79">
        <w:rPr>
          <w:rFonts w:ascii="Times New Roman" w:hAnsi="Times New Roman"/>
          <w:szCs w:val="22"/>
          <w:lang w:val="es-ES_tradnl"/>
        </w:rPr>
        <w:t>,</w:t>
      </w:r>
      <w:r w:rsidR="00AD3378" w:rsidRPr="00122B79">
        <w:rPr>
          <w:rFonts w:ascii="Times New Roman" w:hAnsi="Times New Roman"/>
          <w:szCs w:val="22"/>
          <w:lang w:val="es-ES_tradnl"/>
        </w:rPr>
        <w:t xml:space="preserve"> de la Ley sobre Impuesto a la Renta (LIR). </w:t>
      </w:r>
    </w:p>
    <w:p w:rsidR="00926BF2" w:rsidRPr="00122B79" w:rsidRDefault="00D05EFD">
      <w:pPr>
        <w:rPr>
          <w:rFonts w:ascii="Times New Roman" w:hAnsi="Times New Roman"/>
          <w:szCs w:val="22"/>
          <w:lang w:val="es-ES_tradnl"/>
        </w:rPr>
      </w:pPr>
      <w:r w:rsidRPr="00122B79">
        <w:rPr>
          <w:rFonts w:ascii="Times New Roman" w:hAnsi="Times New Roman"/>
          <w:szCs w:val="22"/>
          <w:lang w:val="es-ES_tradnl"/>
        </w:rPr>
        <w:t>No</w:t>
      </w:r>
      <w:r w:rsidR="00AD3378" w:rsidRPr="00122B79">
        <w:rPr>
          <w:rFonts w:ascii="Times New Roman" w:hAnsi="Times New Roman"/>
          <w:szCs w:val="22"/>
          <w:lang w:val="es-ES_tradnl"/>
        </w:rPr>
        <w:t xml:space="preserve"> obstante la obligatoriedad y permanencia de la afiliación al sistema de pensiones antes referido, la Ley 18.225, excepcionalmente autoriza la </w:t>
      </w:r>
      <w:r w:rsidR="00926BF2" w:rsidRPr="00122B79">
        <w:rPr>
          <w:rFonts w:ascii="Times New Roman" w:hAnsi="Times New Roman"/>
          <w:szCs w:val="22"/>
          <w:lang w:val="es-ES_tradnl"/>
        </w:rPr>
        <w:t xml:space="preserve">desafiliación al mismo, para aquellas personas que hayan sido imponentes de algún régimen previsional del </w:t>
      </w:r>
      <w:r w:rsidR="00F74EA6" w:rsidRPr="00122B79">
        <w:rPr>
          <w:rFonts w:ascii="Times New Roman" w:hAnsi="Times New Roman"/>
          <w:szCs w:val="22"/>
          <w:lang w:val="es-ES_tradnl"/>
        </w:rPr>
        <w:t>a</w:t>
      </w:r>
      <w:r w:rsidR="00926BF2" w:rsidRPr="00122B79">
        <w:rPr>
          <w:rFonts w:ascii="Times New Roman" w:hAnsi="Times New Roman"/>
          <w:szCs w:val="22"/>
          <w:lang w:val="es-ES_tradnl"/>
        </w:rPr>
        <w:t xml:space="preserve">ntiguo </w:t>
      </w:r>
      <w:r w:rsidR="00F74EA6" w:rsidRPr="00122B79">
        <w:rPr>
          <w:rFonts w:ascii="Times New Roman" w:hAnsi="Times New Roman"/>
          <w:szCs w:val="22"/>
          <w:lang w:val="es-ES_tradnl"/>
        </w:rPr>
        <w:t>s</w:t>
      </w:r>
      <w:r w:rsidR="00926BF2" w:rsidRPr="00122B79">
        <w:rPr>
          <w:rFonts w:ascii="Times New Roman" w:hAnsi="Times New Roman"/>
          <w:szCs w:val="22"/>
          <w:lang w:val="es-ES_tradnl"/>
        </w:rPr>
        <w:t xml:space="preserve">istema de </w:t>
      </w:r>
      <w:r w:rsidR="00F74EA6" w:rsidRPr="00122B79">
        <w:rPr>
          <w:rFonts w:ascii="Times New Roman" w:hAnsi="Times New Roman"/>
          <w:szCs w:val="22"/>
          <w:lang w:val="es-ES_tradnl"/>
        </w:rPr>
        <w:t>p</w:t>
      </w:r>
      <w:r w:rsidR="00926BF2" w:rsidRPr="00122B79">
        <w:rPr>
          <w:rFonts w:ascii="Times New Roman" w:hAnsi="Times New Roman"/>
          <w:szCs w:val="22"/>
          <w:lang w:val="es-ES_tradnl"/>
        </w:rPr>
        <w:t>ensiones administrado por el Instituto de Previsión Social (IPS), y que cumplan con los requisitos que la mencionada ley establece al efecto.</w:t>
      </w:r>
      <w:r w:rsidR="00F74EA6" w:rsidRPr="00122B79">
        <w:rPr>
          <w:rFonts w:ascii="Times New Roman" w:hAnsi="Times New Roman"/>
          <w:szCs w:val="22"/>
          <w:lang w:val="es-ES_tradnl"/>
        </w:rPr>
        <w:t xml:space="preserve"> </w:t>
      </w:r>
      <w:r w:rsidRPr="00122B79">
        <w:rPr>
          <w:rFonts w:ascii="Times New Roman" w:hAnsi="Times New Roman"/>
          <w:szCs w:val="22"/>
          <w:lang w:val="es-ES_tradnl"/>
        </w:rPr>
        <w:t>E</w:t>
      </w:r>
      <w:r w:rsidR="00926BF2" w:rsidRPr="00122B79">
        <w:rPr>
          <w:rFonts w:ascii="Times New Roman" w:hAnsi="Times New Roman"/>
          <w:szCs w:val="22"/>
          <w:lang w:val="es-ES_tradnl"/>
        </w:rPr>
        <w:t xml:space="preserve">l inciso </w:t>
      </w:r>
      <w:r w:rsidR="00F74EA6" w:rsidRPr="00122B79">
        <w:rPr>
          <w:rFonts w:ascii="Times New Roman" w:hAnsi="Times New Roman"/>
          <w:szCs w:val="22"/>
          <w:lang w:val="es-ES_tradnl"/>
        </w:rPr>
        <w:t>3°,</w:t>
      </w:r>
      <w:r w:rsidR="00926BF2" w:rsidRPr="00122B79">
        <w:rPr>
          <w:rFonts w:ascii="Times New Roman" w:hAnsi="Times New Roman"/>
          <w:szCs w:val="22"/>
          <w:lang w:val="es-ES_tradnl"/>
        </w:rPr>
        <w:t xml:space="preserve"> del artículo 2</w:t>
      </w:r>
      <w:r w:rsidR="001C103A" w:rsidRPr="00122B79">
        <w:rPr>
          <w:rFonts w:ascii="Times New Roman" w:hAnsi="Times New Roman"/>
          <w:szCs w:val="22"/>
          <w:lang w:val="es-ES_tradnl"/>
        </w:rPr>
        <w:t>,</w:t>
      </w:r>
      <w:r w:rsidR="00926BF2" w:rsidRPr="00122B79">
        <w:rPr>
          <w:rFonts w:ascii="Times New Roman" w:hAnsi="Times New Roman"/>
          <w:szCs w:val="22"/>
          <w:lang w:val="es-ES_tradnl"/>
        </w:rPr>
        <w:t xml:space="preserve"> de la Ley</w:t>
      </w:r>
      <w:r w:rsidR="001C103A" w:rsidRPr="00122B79">
        <w:rPr>
          <w:rFonts w:ascii="Times New Roman" w:hAnsi="Times New Roman"/>
          <w:szCs w:val="22"/>
          <w:lang w:val="es-ES_tradnl"/>
        </w:rPr>
        <w:t xml:space="preserve"> </w:t>
      </w:r>
      <w:r w:rsidR="00926BF2" w:rsidRPr="00122B79">
        <w:rPr>
          <w:rFonts w:ascii="Times New Roman" w:hAnsi="Times New Roman"/>
          <w:szCs w:val="22"/>
          <w:lang w:val="es-ES_tradnl"/>
        </w:rPr>
        <w:t>18.225</w:t>
      </w:r>
      <w:r w:rsidR="001C103A" w:rsidRPr="00122B79">
        <w:rPr>
          <w:rFonts w:ascii="Times New Roman" w:hAnsi="Times New Roman"/>
          <w:szCs w:val="22"/>
          <w:lang w:val="es-ES_tradnl"/>
        </w:rPr>
        <w:t>,</w:t>
      </w:r>
      <w:r w:rsidR="00926BF2" w:rsidRPr="00122B79">
        <w:rPr>
          <w:rFonts w:ascii="Times New Roman" w:hAnsi="Times New Roman"/>
          <w:szCs w:val="22"/>
          <w:lang w:val="es-ES_tradnl"/>
        </w:rPr>
        <w:t xml:space="preserve"> dispone que una vez aprobada la desafiliación, la Administradora de Fondos de Pensiones (AFP) que corresponda, transferirá a la institución de régimen previsional antiguo a la cual el interesado se incorpore</w:t>
      </w:r>
      <w:r w:rsidR="00A01215" w:rsidRPr="00122B79">
        <w:rPr>
          <w:rFonts w:ascii="Times New Roman" w:hAnsi="Times New Roman"/>
          <w:szCs w:val="22"/>
          <w:lang w:val="es-ES_tradnl"/>
        </w:rPr>
        <w:t>, los fondos de su cuenta de capitalización individual necesarios para pagar las imposiciones que le habría correspondido inte</w:t>
      </w:r>
      <w:r w:rsidR="001C103A" w:rsidRPr="00122B79">
        <w:rPr>
          <w:rFonts w:ascii="Times New Roman" w:hAnsi="Times New Roman"/>
          <w:szCs w:val="22"/>
          <w:lang w:val="es-ES_tradnl"/>
        </w:rPr>
        <w:t>grar a dicho régimen por el perí</w:t>
      </w:r>
      <w:r w:rsidR="00A01215" w:rsidRPr="00122B79">
        <w:rPr>
          <w:rFonts w:ascii="Times New Roman" w:hAnsi="Times New Roman"/>
          <w:szCs w:val="22"/>
          <w:lang w:val="es-ES_tradnl"/>
        </w:rPr>
        <w:t>odo durante el cual cotizó en la o las AFPs, de acuerdo a la liquidación que para tales efectos practique dicha institución del régimen antiguo.</w:t>
      </w:r>
    </w:p>
    <w:p w:rsidR="00A01215" w:rsidRPr="00122B79" w:rsidRDefault="00A01215">
      <w:pPr>
        <w:rPr>
          <w:rFonts w:ascii="Times New Roman" w:hAnsi="Times New Roman"/>
          <w:szCs w:val="22"/>
          <w:lang w:val="es-ES_tradnl"/>
        </w:rPr>
      </w:pPr>
      <w:r w:rsidRPr="00122B79">
        <w:rPr>
          <w:rFonts w:ascii="Times New Roman" w:hAnsi="Times New Roman"/>
          <w:szCs w:val="22"/>
          <w:lang w:val="es-ES_tradnl"/>
        </w:rPr>
        <w:t xml:space="preserve">Luego, conforme dispone el inciso final de la citada disposición, si los fondos acumulados en la cuenta de capitalización individual fueren superiores al monto de las imposiciones que debe enterar el interesado en la institución del régimen previsional antiguo, el </w:t>
      </w:r>
      <w:r w:rsidR="00F2327F" w:rsidRPr="00122B79">
        <w:rPr>
          <w:rFonts w:ascii="Times New Roman" w:hAnsi="Times New Roman"/>
          <w:szCs w:val="22"/>
          <w:lang w:val="es-ES_tradnl"/>
        </w:rPr>
        <w:t xml:space="preserve">remanente o excedente </w:t>
      </w:r>
      <w:r w:rsidRPr="00122B79">
        <w:rPr>
          <w:rFonts w:ascii="Times New Roman" w:hAnsi="Times New Roman"/>
          <w:szCs w:val="22"/>
          <w:lang w:val="es-ES_tradnl"/>
        </w:rPr>
        <w:t>que quedare una vez efectuado el traspaso, deberá ser devuelto por la AFP al interesado</w:t>
      </w:r>
      <w:r w:rsidR="00F2327F" w:rsidRPr="00122B79">
        <w:rPr>
          <w:rFonts w:ascii="Times New Roman" w:hAnsi="Times New Roman"/>
          <w:szCs w:val="22"/>
          <w:lang w:val="es-ES_tradnl"/>
        </w:rPr>
        <w:t>,</w:t>
      </w:r>
      <w:r w:rsidRPr="00122B79">
        <w:rPr>
          <w:rFonts w:ascii="Times New Roman" w:hAnsi="Times New Roman"/>
          <w:szCs w:val="22"/>
          <w:lang w:val="es-ES_tradnl"/>
        </w:rPr>
        <w:t xml:space="preserve"> para su libre disposición.</w:t>
      </w:r>
    </w:p>
    <w:p w:rsidR="00A01215" w:rsidRPr="00122B79" w:rsidRDefault="00A01215">
      <w:pPr>
        <w:rPr>
          <w:rFonts w:ascii="Times New Roman" w:hAnsi="Times New Roman"/>
          <w:szCs w:val="22"/>
          <w:lang w:val="es-ES_tradnl"/>
        </w:rPr>
      </w:pPr>
      <w:r w:rsidRPr="00122B79">
        <w:rPr>
          <w:rFonts w:ascii="Times New Roman" w:hAnsi="Times New Roman"/>
          <w:szCs w:val="22"/>
          <w:lang w:val="es-ES_tradnl"/>
        </w:rPr>
        <w:t>En este contexto</w:t>
      </w:r>
      <w:r w:rsidR="002B6C01" w:rsidRPr="00122B79">
        <w:rPr>
          <w:rFonts w:ascii="Times New Roman" w:hAnsi="Times New Roman"/>
          <w:szCs w:val="22"/>
          <w:lang w:val="es-ES_tradnl"/>
        </w:rPr>
        <w:t xml:space="preserve">, esa Superintendencia solicita un pronunciamiento </w:t>
      </w:r>
      <w:r w:rsidR="00800AFB" w:rsidRPr="00122B79">
        <w:rPr>
          <w:rFonts w:ascii="Times New Roman" w:hAnsi="Times New Roman"/>
          <w:szCs w:val="22"/>
          <w:lang w:val="es-ES_tradnl"/>
        </w:rPr>
        <w:t>de</w:t>
      </w:r>
      <w:r w:rsidR="002B6C01" w:rsidRPr="00122B79">
        <w:rPr>
          <w:rFonts w:ascii="Times New Roman" w:hAnsi="Times New Roman"/>
          <w:szCs w:val="22"/>
          <w:lang w:val="es-ES_tradnl"/>
        </w:rPr>
        <w:t xml:space="preserve"> este Servicio en relación con el tratamiento tributario que debe darse al excedente antes indicado.</w:t>
      </w:r>
    </w:p>
    <w:p w:rsidR="007B0A78" w:rsidRPr="00122B79" w:rsidRDefault="007B0A78" w:rsidP="007C3A7C">
      <w:pPr>
        <w:numPr>
          <w:ilvl w:val="0"/>
          <w:numId w:val="4"/>
        </w:numPr>
        <w:tabs>
          <w:tab w:val="left" w:pos="284"/>
        </w:tabs>
        <w:spacing w:before="240" w:after="240"/>
        <w:ind w:left="0" w:firstLine="0"/>
        <w:rPr>
          <w:rFonts w:ascii="Times New Roman" w:hAnsi="Times New Roman"/>
          <w:b/>
          <w:szCs w:val="22"/>
        </w:rPr>
      </w:pPr>
      <w:r w:rsidRPr="00122B79">
        <w:rPr>
          <w:rFonts w:ascii="Times New Roman" w:hAnsi="Times New Roman"/>
          <w:b/>
          <w:szCs w:val="22"/>
        </w:rPr>
        <w:t>AN</w:t>
      </w:r>
      <w:r w:rsidR="003B2CC9" w:rsidRPr="00122B79">
        <w:rPr>
          <w:rFonts w:ascii="Times New Roman" w:hAnsi="Times New Roman"/>
          <w:b/>
          <w:szCs w:val="22"/>
        </w:rPr>
        <w:t>Á</w:t>
      </w:r>
      <w:r w:rsidRPr="00122B79">
        <w:rPr>
          <w:rFonts w:ascii="Times New Roman" w:hAnsi="Times New Roman"/>
          <w:b/>
          <w:szCs w:val="22"/>
        </w:rPr>
        <w:t>LISIS</w:t>
      </w:r>
      <w:r w:rsidR="003B2CC9" w:rsidRPr="00122B79">
        <w:rPr>
          <w:rFonts w:ascii="Times New Roman" w:hAnsi="Times New Roman"/>
          <w:b/>
          <w:szCs w:val="22"/>
        </w:rPr>
        <w:t>.</w:t>
      </w:r>
    </w:p>
    <w:p w:rsidR="00924E63" w:rsidRPr="00122B79" w:rsidRDefault="0042495A" w:rsidP="007B0A78">
      <w:pPr>
        <w:rPr>
          <w:rFonts w:ascii="Times New Roman" w:hAnsi="Times New Roman"/>
          <w:szCs w:val="22"/>
        </w:rPr>
      </w:pPr>
      <w:r w:rsidRPr="00122B79">
        <w:rPr>
          <w:rFonts w:ascii="Times New Roman" w:hAnsi="Times New Roman"/>
          <w:szCs w:val="22"/>
        </w:rPr>
        <w:t xml:space="preserve">Sobre el particular, cabe señalar que </w:t>
      </w:r>
      <w:r w:rsidR="00924E63" w:rsidRPr="00122B79">
        <w:rPr>
          <w:rFonts w:ascii="Times New Roman" w:hAnsi="Times New Roman"/>
          <w:szCs w:val="22"/>
        </w:rPr>
        <w:t>el artículo 1</w:t>
      </w:r>
      <w:r w:rsidR="0067668F" w:rsidRPr="00122B79">
        <w:rPr>
          <w:rFonts w:ascii="Times New Roman" w:hAnsi="Times New Roman"/>
          <w:szCs w:val="22"/>
        </w:rPr>
        <w:t>°</w:t>
      </w:r>
      <w:r w:rsidR="007C3A7C" w:rsidRPr="00122B79">
        <w:rPr>
          <w:rFonts w:ascii="Times New Roman" w:hAnsi="Times New Roman"/>
          <w:szCs w:val="22"/>
        </w:rPr>
        <w:t>,</w:t>
      </w:r>
      <w:r w:rsidR="00924E63" w:rsidRPr="00122B79">
        <w:rPr>
          <w:rFonts w:ascii="Times New Roman" w:hAnsi="Times New Roman"/>
          <w:szCs w:val="22"/>
        </w:rPr>
        <w:t xml:space="preserve"> de la Ley 18.225, autoriza la desafiliación al Sistema de Pensiones creado por el D.L. N°3500, de 1980</w:t>
      </w:r>
      <w:r w:rsidR="007C3A7C" w:rsidRPr="00122B79">
        <w:rPr>
          <w:rFonts w:ascii="Times New Roman" w:hAnsi="Times New Roman"/>
          <w:szCs w:val="22"/>
        </w:rPr>
        <w:t>,</w:t>
      </w:r>
      <w:r w:rsidR="00924E63" w:rsidRPr="00122B79">
        <w:rPr>
          <w:rFonts w:ascii="Times New Roman" w:hAnsi="Times New Roman"/>
          <w:szCs w:val="22"/>
        </w:rPr>
        <w:t xml:space="preserve"> </w:t>
      </w:r>
      <w:r w:rsidR="003E11F8" w:rsidRPr="00122B79">
        <w:rPr>
          <w:rFonts w:ascii="Times New Roman" w:hAnsi="Times New Roman"/>
          <w:szCs w:val="22"/>
        </w:rPr>
        <w:t>de</w:t>
      </w:r>
      <w:r w:rsidR="00924E63" w:rsidRPr="00122B79">
        <w:rPr>
          <w:rFonts w:ascii="Times New Roman" w:hAnsi="Times New Roman"/>
          <w:szCs w:val="22"/>
        </w:rPr>
        <w:t xml:space="preserve"> las personas que hayan sido imponentes de instituciones de previsión del régimen antiguo que se encuentren en la situación que indica la misma norma.</w:t>
      </w:r>
      <w:r w:rsidR="007C3A7C" w:rsidRPr="00122B79">
        <w:rPr>
          <w:rFonts w:ascii="Times New Roman" w:hAnsi="Times New Roman"/>
          <w:szCs w:val="22"/>
        </w:rPr>
        <w:t xml:space="preserve"> </w:t>
      </w:r>
      <w:r w:rsidR="00CB500E" w:rsidRPr="00122B79">
        <w:rPr>
          <w:rFonts w:ascii="Times New Roman" w:hAnsi="Times New Roman"/>
          <w:szCs w:val="22"/>
        </w:rPr>
        <w:t>E</w:t>
      </w:r>
      <w:r w:rsidR="00CE272B" w:rsidRPr="00122B79">
        <w:rPr>
          <w:rFonts w:ascii="Times New Roman" w:hAnsi="Times New Roman"/>
          <w:szCs w:val="22"/>
        </w:rPr>
        <w:t xml:space="preserve">n </w:t>
      </w:r>
      <w:r w:rsidR="00237654" w:rsidRPr="00122B79">
        <w:rPr>
          <w:rFonts w:ascii="Times New Roman" w:hAnsi="Times New Roman"/>
          <w:szCs w:val="22"/>
        </w:rPr>
        <w:t xml:space="preserve">los casos que opere </w:t>
      </w:r>
      <w:r w:rsidR="007C3A7C" w:rsidRPr="00122B79">
        <w:rPr>
          <w:rFonts w:ascii="Times New Roman" w:hAnsi="Times New Roman"/>
          <w:szCs w:val="22"/>
        </w:rPr>
        <w:t>esta</w:t>
      </w:r>
      <w:r w:rsidR="00237654" w:rsidRPr="00122B79">
        <w:rPr>
          <w:rFonts w:ascii="Times New Roman" w:hAnsi="Times New Roman"/>
          <w:szCs w:val="22"/>
        </w:rPr>
        <w:t xml:space="preserve"> desafiliación</w:t>
      </w:r>
      <w:r w:rsidR="00CE272B" w:rsidRPr="00122B79">
        <w:rPr>
          <w:rFonts w:ascii="Times New Roman" w:hAnsi="Times New Roman"/>
          <w:szCs w:val="22"/>
        </w:rPr>
        <w:t>, la AFP transferirá de la cuenta de capitalización del interesado, a la institución del régimen previsional antiguo a la cual éste se reincorpore o incorpore, los fondos necesarios para pagar las imposiciones que le correspondan, de conformidad con la liquidación que para tales efectos practique dicha institución del régimen antiguo.</w:t>
      </w:r>
    </w:p>
    <w:p w:rsidR="00723818" w:rsidRPr="00122B79" w:rsidRDefault="00CB500E" w:rsidP="007B0A78">
      <w:pPr>
        <w:rPr>
          <w:rFonts w:ascii="Times New Roman" w:hAnsi="Times New Roman"/>
          <w:szCs w:val="22"/>
        </w:rPr>
      </w:pPr>
      <w:r w:rsidRPr="00122B79">
        <w:rPr>
          <w:rFonts w:ascii="Times New Roman" w:hAnsi="Times New Roman"/>
          <w:szCs w:val="22"/>
        </w:rPr>
        <w:t>Ahora bien, p</w:t>
      </w:r>
      <w:r w:rsidR="002178FA" w:rsidRPr="00122B79">
        <w:rPr>
          <w:rFonts w:ascii="Times New Roman" w:hAnsi="Times New Roman"/>
          <w:szCs w:val="22"/>
        </w:rPr>
        <w:t>or disposición del inciso final</w:t>
      </w:r>
      <w:r w:rsidR="007C3A7C" w:rsidRPr="00122B79">
        <w:rPr>
          <w:rFonts w:ascii="Times New Roman" w:hAnsi="Times New Roman"/>
          <w:szCs w:val="22"/>
        </w:rPr>
        <w:t>,</w:t>
      </w:r>
      <w:r w:rsidR="002178FA" w:rsidRPr="00122B79">
        <w:rPr>
          <w:rFonts w:ascii="Times New Roman" w:hAnsi="Times New Roman"/>
          <w:szCs w:val="22"/>
        </w:rPr>
        <w:t xml:space="preserve"> del artículo 2</w:t>
      </w:r>
      <w:r w:rsidR="007C3A7C" w:rsidRPr="00122B79">
        <w:rPr>
          <w:rFonts w:ascii="Times New Roman" w:hAnsi="Times New Roman"/>
          <w:szCs w:val="22"/>
        </w:rPr>
        <w:t>,</w:t>
      </w:r>
      <w:r w:rsidR="002178FA" w:rsidRPr="00122B79">
        <w:rPr>
          <w:rFonts w:ascii="Times New Roman" w:hAnsi="Times New Roman"/>
          <w:szCs w:val="22"/>
        </w:rPr>
        <w:t xml:space="preserve"> de la Ley 18.225, si los fondos acumulados en la cuenta de capitalización individual fueren superiores al monto de las imposiciones que el interesado debe enterar en la institución del régimen previsional antiguo, el remanente que quedare una vez ef</w:t>
      </w:r>
      <w:r w:rsidR="0067668F" w:rsidRPr="00122B79">
        <w:rPr>
          <w:rFonts w:ascii="Times New Roman" w:hAnsi="Times New Roman"/>
          <w:szCs w:val="22"/>
        </w:rPr>
        <w:t>ectuado el traspaso, deberá ser</w:t>
      </w:r>
      <w:r w:rsidR="002178FA" w:rsidRPr="00122B79">
        <w:rPr>
          <w:rFonts w:ascii="Times New Roman" w:hAnsi="Times New Roman"/>
          <w:szCs w:val="22"/>
        </w:rPr>
        <w:t xml:space="preserve"> devuelto por la AFP al interesado.</w:t>
      </w:r>
    </w:p>
    <w:p w:rsidR="007B0A78" w:rsidRPr="00122B79" w:rsidRDefault="007B0A78" w:rsidP="007C3A7C">
      <w:pPr>
        <w:spacing w:before="240" w:after="240"/>
        <w:rPr>
          <w:rFonts w:ascii="Times New Roman" w:hAnsi="Times New Roman"/>
          <w:b/>
          <w:szCs w:val="22"/>
        </w:rPr>
      </w:pPr>
      <w:r w:rsidRPr="00122B79">
        <w:rPr>
          <w:rFonts w:ascii="Times New Roman" w:hAnsi="Times New Roman"/>
          <w:b/>
          <w:szCs w:val="22"/>
        </w:rPr>
        <w:t>III. CONCLUSIÓN</w:t>
      </w:r>
      <w:r w:rsidR="003B2CC9" w:rsidRPr="00122B79">
        <w:rPr>
          <w:rFonts w:ascii="Times New Roman" w:hAnsi="Times New Roman"/>
          <w:b/>
          <w:szCs w:val="22"/>
        </w:rPr>
        <w:t>.</w:t>
      </w:r>
    </w:p>
    <w:p w:rsidR="00723818" w:rsidRPr="00122B79" w:rsidRDefault="00BC7BD8" w:rsidP="00723818">
      <w:pPr>
        <w:rPr>
          <w:rFonts w:ascii="Times New Roman" w:hAnsi="Times New Roman"/>
          <w:szCs w:val="22"/>
        </w:rPr>
      </w:pPr>
      <w:r w:rsidRPr="00122B79">
        <w:rPr>
          <w:rFonts w:ascii="Times New Roman" w:hAnsi="Times New Roman"/>
          <w:szCs w:val="22"/>
        </w:rPr>
        <w:t xml:space="preserve">Atendido que los fondos depositados en la cuenta de </w:t>
      </w:r>
      <w:r w:rsidR="001B3C78" w:rsidRPr="00122B79">
        <w:rPr>
          <w:rFonts w:ascii="Times New Roman" w:hAnsi="Times New Roman"/>
          <w:szCs w:val="22"/>
        </w:rPr>
        <w:t>capitalización</w:t>
      </w:r>
      <w:r w:rsidRPr="00122B79">
        <w:rPr>
          <w:rFonts w:ascii="Times New Roman" w:hAnsi="Times New Roman"/>
          <w:szCs w:val="22"/>
        </w:rPr>
        <w:t xml:space="preserve"> individual que el interesado mantenía en la AFP en la cual se encontraba hasta el momento de su desafiliación, no formaron parte de la base imponible del Impuesto Único de Segunda Categoría, </w:t>
      </w:r>
      <w:r w:rsidR="00D81F54" w:rsidRPr="00122B79">
        <w:rPr>
          <w:rFonts w:ascii="Times New Roman" w:hAnsi="Times New Roman"/>
          <w:szCs w:val="22"/>
        </w:rPr>
        <w:t>pues en conformidad</w:t>
      </w:r>
      <w:r w:rsidR="00D81F54" w:rsidRPr="00122B79">
        <w:rPr>
          <w:rFonts w:ascii="Times New Roman" w:hAnsi="Times New Roman"/>
          <w:szCs w:val="22"/>
          <w:lang w:val="es-ES_tradnl"/>
        </w:rPr>
        <w:t xml:space="preserve"> con lo </w:t>
      </w:r>
      <w:r w:rsidR="00D81F54" w:rsidRPr="00122B79">
        <w:rPr>
          <w:rFonts w:ascii="Times New Roman" w:hAnsi="Times New Roman"/>
          <w:szCs w:val="22"/>
          <w:lang w:val="es-ES_tradnl"/>
        </w:rPr>
        <w:lastRenderedPageBreak/>
        <w:t xml:space="preserve">dispuesto por el artículo 18, del D.L. N°3500, de 1980, la parte de la remuneración y renta imponible destinada al pago de la referida cotización, se entiende comprendida dentro de las excepciones que contempla el N°1, del artículo 42, de la Ley sobre Impuesto a la Renta, se sigue que, </w:t>
      </w:r>
      <w:r w:rsidR="00B9686C" w:rsidRPr="00122B79">
        <w:rPr>
          <w:rFonts w:ascii="Times New Roman" w:hAnsi="Times New Roman"/>
          <w:szCs w:val="22"/>
        </w:rPr>
        <w:t xml:space="preserve">en </w:t>
      </w:r>
      <w:r w:rsidR="00D81F54" w:rsidRPr="00122B79">
        <w:rPr>
          <w:rFonts w:ascii="Times New Roman" w:hAnsi="Times New Roman"/>
          <w:szCs w:val="22"/>
        </w:rPr>
        <w:t xml:space="preserve">el </w:t>
      </w:r>
      <w:r w:rsidR="00B9686C" w:rsidRPr="00122B79">
        <w:rPr>
          <w:rFonts w:ascii="Times New Roman" w:hAnsi="Times New Roman"/>
          <w:szCs w:val="22"/>
        </w:rPr>
        <w:t>caso</w:t>
      </w:r>
      <w:r w:rsidR="00D81F54" w:rsidRPr="00122B79">
        <w:rPr>
          <w:rFonts w:ascii="Times New Roman" w:hAnsi="Times New Roman"/>
          <w:szCs w:val="22"/>
        </w:rPr>
        <w:t xml:space="preserve"> en</w:t>
      </w:r>
      <w:r w:rsidR="007C3A7C" w:rsidRPr="00122B79">
        <w:rPr>
          <w:rFonts w:ascii="Times New Roman" w:hAnsi="Times New Roman"/>
          <w:szCs w:val="22"/>
        </w:rPr>
        <w:t xml:space="preserve"> que</w:t>
      </w:r>
      <w:r w:rsidR="00B9686C" w:rsidRPr="00122B79">
        <w:rPr>
          <w:rFonts w:ascii="Times New Roman" w:hAnsi="Times New Roman"/>
          <w:szCs w:val="22"/>
        </w:rPr>
        <w:t xml:space="preserve"> por aplicación del inciso final</w:t>
      </w:r>
      <w:r w:rsidR="007C3A7C" w:rsidRPr="00122B79">
        <w:rPr>
          <w:rFonts w:ascii="Times New Roman" w:hAnsi="Times New Roman"/>
          <w:szCs w:val="22"/>
        </w:rPr>
        <w:t>,</w:t>
      </w:r>
      <w:r w:rsidR="00B9686C" w:rsidRPr="00122B79">
        <w:rPr>
          <w:rFonts w:ascii="Times New Roman" w:hAnsi="Times New Roman"/>
          <w:szCs w:val="22"/>
        </w:rPr>
        <w:t xml:space="preserve"> del artículo 2</w:t>
      </w:r>
      <w:r w:rsidR="007C3A7C" w:rsidRPr="00122B79">
        <w:rPr>
          <w:rFonts w:ascii="Times New Roman" w:hAnsi="Times New Roman"/>
          <w:szCs w:val="22"/>
        </w:rPr>
        <w:t>,</w:t>
      </w:r>
      <w:r w:rsidR="00B9686C" w:rsidRPr="00122B79">
        <w:rPr>
          <w:rFonts w:ascii="Times New Roman" w:hAnsi="Times New Roman"/>
          <w:szCs w:val="22"/>
        </w:rPr>
        <w:t xml:space="preserve"> de la Ley 18.225</w:t>
      </w:r>
      <w:r w:rsidR="007C3A7C" w:rsidRPr="00122B79">
        <w:rPr>
          <w:rFonts w:ascii="Times New Roman" w:hAnsi="Times New Roman"/>
          <w:szCs w:val="22"/>
        </w:rPr>
        <w:t>,</w:t>
      </w:r>
      <w:r w:rsidR="009334DD" w:rsidRPr="00122B79">
        <w:rPr>
          <w:rFonts w:ascii="Times New Roman" w:hAnsi="Times New Roman"/>
          <w:szCs w:val="22"/>
        </w:rPr>
        <w:t xml:space="preserve"> deba procederse a su devolución, </w:t>
      </w:r>
      <w:r w:rsidR="00BF11EB" w:rsidRPr="00122B79">
        <w:rPr>
          <w:rFonts w:ascii="Times New Roman" w:hAnsi="Times New Roman"/>
          <w:szCs w:val="22"/>
        </w:rPr>
        <w:t>tal suma o excedente,</w:t>
      </w:r>
      <w:r w:rsidR="009334DD" w:rsidRPr="00122B79">
        <w:rPr>
          <w:rFonts w:ascii="Times New Roman" w:hAnsi="Times New Roman"/>
          <w:szCs w:val="22"/>
        </w:rPr>
        <w:t xml:space="preserve"> </w:t>
      </w:r>
      <w:r w:rsidR="00B9686C" w:rsidRPr="00122B79">
        <w:rPr>
          <w:rFonts w:ascii="Times New Roman" w:hAnsi="Times New Roman"/>
          <w:szCs w:val="22"/>
        </w:rPr>
        <w:t>pierde su carácter previsional</w:t>
      </w:r>
      <w:r w:rsidR="004424FB" w:rsidRPr="00122B79">
        <w:rPr>
          <w:rFonts w:ascii="Times New Roman" w:hAnsi="Times New Roman"/>
          <w:szCs w:val="22"/>
        </w:rPr>
        <w:t>,</w:t>
      </w:r>
      <w:r w:rsidR="00B9686C" w:rsidRPr="00122B79">
        <w:rPr>
          <w:rFonts w:ascii="Times New Roman" w:hAnsi="Times New Roman"/>
          <w:szCs w:val="22"/>
        </w:rPr>
        <w:t xml:space="preserve"> por lo que dicha cantidad, </w:t>
      </w:r>
      <w:r w:rsidRPr="00122B79">
        <w:rPr>
          <w:rFonts w:ascii="Times New Roman" w:hAnsi="Times New Roman"/>
          <w:szCs w:val="22"/>
        </w:rPr>
        <w:t>inclu</w:t>
      </w:r>
      <w:r w:rsidR="00B9686C" w:rsidRPr="00122B79">
        <w:rPr>
          <w:rFonts w:ascii="Times New Roman" w:hAnsi="Times New Roman"/>
          <w:szCs w:val="22"/>
        </w:rPr>
        <w:t>yendo</w:t>
      </w:r>
      <w:r w:rsidRPr="00122B79">
        <w:rPr>
          <w:rFonts w:ascii="Times New Roman" w:hAnsi="Times New Roman"/>
          <w:szCs w:val="22"/>
        </w:rPr>
        <w:t xml:space="preserve"> los incrementos por concepto de rentabilidad que puedan comprender, se afectarán con el Impuesto Único de Segunda Categoría de los artículos 42</w:t>
      </w:r>
      <w:r w:rsidR="007C3A7C" w:rsidRPr="00122B79">
        <w:rPr>
          <w:rFonts w:ascii="Times New Roman" w:hAnsi="Times New Roman"/>
          <w:szCs w:val="22"/>
        </w:rPr>
        <w:t>,</w:t>
      </w:r>
      <w:r w:rsidRPr="00122B79">
        <w:rPr>
          <w:rFonts w:ascii="Times New Roman" w:hAnsi="Times New Roman"/>
          <w:szCs w:val="22"/>
        </w:rPr>
        <w:t xml:space="preserve"> N°1 y 43 N°1 de la L</w:t>
      </w:r>
      <w:r w:rsidR="00771B60" w:rsidRPr="00122B79">
        <w:rPr>
          <w:rFonts w:ascii="Times New Roman" w:hAnsi="Times New Roman"/>
          <w:szCs w:val="22"/>
        </w:rPr>
        <w:t>IR</w:t>
      </w:r>
      <w:r w:rsidR="00B9686C" w:rsidRPr="00122B79">
        <w:rPr>
          <w:rFonts w:ascii="Times New Roman" w:hAnsi="Times New Roman"/>
          <w:szCs w:val="22"/>
        </w:rPr>
        <w:t xml:space="preserve">, </w:t>
      </w:r>
      <w:r w:rsidR="009334DD" w:rsidRPr="00122B79">
        <w:rPr>
          <w:rFonts w:ascii="Times New Roman" w:hAnsi="Times New Roman"/>
          <w:szCs w:val="22"/>
        </w:rPr>
        <w:t>esto es,</w:t>
      </w:r>
      <w:r w:rsidRPr="00122B79">
        <w:rPr>
          <w:rFonts w:ascii="Times New Roman" w:hAnsi="Times New Roman"/>
          <w:szCs w:val="22"/>
        </w:rPr>
        <w:t xml:space="preserve"> con el mismo impuesto del cual temporalmente </w:t>
      </w:r>
      <w:r w:rsidR="00B9686C" w:rsidRPr="00122B79">
        <w:rPr>
          <w:rFonts w:ascii="Times New Roman" w:hAnsi="Times New Roman"/>
          <w:szCs w:val="22"/>
        </w:rPr>
        <w:t>fueron eximidos.</w:t>
      </w:r>
    </w:p>
    <w:p w:rsidR="00723818" w:rsidRPr="00122B79" w:rsidRDefault="000E7093" w:rsidP="00723818">
      <w:pPr>
        <w:rPr>
          <w:rFonts w:ascii="Times New Roman" w:hAnsi="Times New Roman"/>
          <w:szCs w:val="22"/>
        </w:rPr>
      </w:pPr>
      <w:r w:rsidRPr="00122B79">
        <w:rPr>
          <w:rFonts w:ascii="Times New Roman" w:hAnsi="Times New Roman"/>
          <w:szCs w:val="22"/>
        </w:rPr>
        <w:t xml:space="preserve">Corresponderá </w:t>
      </w:r>
      <w:r w:rsidR="00E21C68" w:rsidRPr="00122B79">
        <w:rPr>
          <w:rFonts w:ascii="Times New Roman" w:hAnsi="Times New Roman"/>
          <w:szCs w:val="22"/>
        </w:rPr>
        <w:t>a</w:t>
      </w:r>
      <w:r w:rsidRPr="00122B79">
        <w:rPr>
          <w:rFonts w:ascii="Times New Roman" w:hAnsi="Times New Roman"/>
          <w:szCs w:val="22"/>
        </w:rPr>
        <w:t xml:space="preserve"> la respectiva AFP, conforme a lo establecido por el artículo 74</w:t>
      </w:r>
      <w:r w:rsidR="007C3A7C" w:rsidRPr="00122B79">
        <w:rPr>
          <w:rFonts w:ascii="Times New Roman" w:hAnsi="Times New Roman"/>
          <w:szCs w:val="22"/>
        </w:rPr>
        <w:t>,</w:t>
      </w:r>
      <w:r w:rsidRPr="00122B79">
        <w:rPr>
          <w:rFonts w:ascii="Times New Roman" w:hAnsi="Times New Roman"/>
          <w:szCs w:val="22"/>
        </w:rPr>
        <w:t xml:space="preserve"> N°1</w:t>
      </w:r>
      <w:r w:rsidR="007C3A7C" w:rsidRPr="00122B79">
        <w:rPr>
          <w:rFonts w:ascii="Times New Roman" w:hAnsi="Times New Roman"/>
          <w:szCs w:val="22"/>
        </w:rPr>
        <w:t>,</w:t>
      </w:r>
      <w:r w:rsidRPr="00122B79">
        <w:rPr>
          <w:rFonts w:ascii="Times New Roman" w:hAnsi="Times New Roman"/>
          <w:szCs w:val="22"/>
        </w:rPr>
        <w:t xml:space="preserve"> de la </w:t>
      </w:r>
      <w:r w:rsidR="00E21C68" w:rsidRPr="00122B79">
        <w:rPr>
          <w:rFonts w:ascii="Times New Roman" w:hAnsi="Times New Roman"/>
          <w:szCs w:val="22"/>
        </w:rPr>
        <w:t>LIR</w:t>
      </w:r>
      <w:r w:rsidRPr="00122B79">
        <w:rPr>
          <w:rFonts w:ascii="Times New Roman" w:hAnsi="Times New Roman"/>
          <w:szCs w:val="22"/>
        </w:rPr>
        <w:t>, efect</w:t>
      </w:r>
      <w:r w:rsidR="00E21C68" w:rsidRPr="00122B79">
        <w:rPr>
          <w:rFonts w:ascii="Times New Roman" w:hAnsi="Times New Roman"/>
          <w:szCs w:val="22"/>
        </w:rPr>
        <w:t>uar</w:t>
      </w:r>
      <w:r w:rsidRPr="00122B79">
        <w:rPr>
          <w:rFonts w:ascii="Times New Roman" w:hAnsi="Times New Roman"/>
          <w:szCs w:val="22"/>
        </w:rPr>
        <w:t xml:space="preserve"> la retención del Impuesto Único de Segunda Categoría correspondiente, ya que </w:t>
      </w:r>
      <w:r w:rsidR="00E21C68" w:rsidRPr="00122B79">
        <w:rPr>
          <w:rFonts w:ascii="Times New Roman" w:hAnsi="Times New Roman"/>
          <w:szCs w:val="22"/>
        </w:rPr>
        <w:t xml:space="preserve">es dicha institución </w:t>
      </w:r>
      <w:r w:rsidRPr="00122B79">
        <w:rPr>
          <w:rFonts w:ascii="Times New Roman" w:hAnsi="Times New Roman"/>
          <w:szCs w:val="22"/>
        </w:rPr>
        <w:t xml:space="preserve">quien paga </w:t>
      </w:r>
      <w:r w:rsidR="00014346" w:rsidRPr="00122B79">
        <w:rPr>
          <w:rFonts w:ascii="Times New Roman" w:hAnsi="Times New Roman"/>
          <w:szCs w:val="22"/>
        </w:rPr>
        <w:t>al interesado las cantidades afectas a dicho tributo</w:t>
      </w:r>
      <w:r w:rsidR="00BF11EB" w:rsidRPr="00122B79">
        <w:rPr>
          <w:rFonts w:ascii="Times New Roman" w:hAnsi="Times New Roman"/>
          <w:szCs w:val="22"/>
        </w:rPr>
        <w:t>.</w:t>
      </w:r>
    </w:p>
    <w:p w:rsidR="0042495A" w:rsidRPr="00122B79" w:rsidRDefault="0042495A">
      <w:pPr>
        <w:rPr>
          <w:rFonts w:ascii="Times New Roman" w:hAnsi="Times New Roman"/>
          <w:szCs w:val="22"/>
        </w:rPr>
      </w:pPr>
    </w:p>
    <w:p w:rsidR="0042495A" w:rsidRPr="00122B79" w:rsidRDefault="0042495A">
      <w:pPr>
        <w:rPr>
          <w:rFonts w:ascii="Times New Roman" w:hAnsi="Times New Roman"/>
          <w:szCs w:val="22"/>
        </w:rPr>
      </w:pPr>
    </w:p>
    <w:p w:rsidR="0042495A" w:rsidRPr="00122B79" w:rsidRDefault="0042495A">
      <w:pPr>
        <w:spacing w:before="0" w:after="0"/>
        <w:rPr>
          <w:rFonts w:ascii="Times New Roman" w:hAnsi="Times New Roman"/>
          <w:szCs w:val="22"/>
        </w:rPr>
      </w:pPr>
    </w:p>
    <w:p w:rsidR="0042495A" w:rsidRPr="00122B79" w:rsidRDefault="0042495A">
      <w:pPr>
        <w:spacing w:before="0" w:after="0"/>
        <w:rPr>
          <w:rFonts w:ascii="Times New Roman" w:hAnsi="Times New Roman"/>
          <w:szCs w:val="22"/>
        </w:rPr>
      </w:pPr>
    </w:p>
    <w:p w:rsidR="0042495A" w:rsidRPr="00122B79" w:rsidRDefault="0042495A">
      <w:pPr>
        <w:spacing w:before="0" w:after="0"/>
        <w:rPr>
          <w:rFonts w:ascii="Times New Roman" w:hAnsi="Times New Roman"/>
          <w:szCs w:val="22"/>
        </w:rPr>
      </w:pPr>
    </w:p>
    <w:p w:rsidR="0042495A" w:rsidRPr="00122B79" w:rsidRDefault="00EE1065">
      <w:pPr>
        <w:pStyle w:val="Ttulo6"/>
        <w:spacing w:before="0" w:after="0"/>
        <w:rPr>
          <w:rFonts w:ascii="Times New Roman" w:hAnsi="Times New Roman" w:cs="Times New Roman"/>
          <w:szCs w:val="22"/>
        </w:rPr>
      </w:pPr>
      <w:r w:rsidRPr="00122B79">
        <w:rPr>
          <w:rFonts w:ascii="Times New Roman" w:hAnsi="Times New Roman" w:cs="Times New Roman"/>
          <w:szCs w:val="22"/>
        </w:rPr>
        <w:t>JULIO PEREIRA GANDARILLAS</w:t>
      </w:r>
    </w:p>
    <w:p w:rsidR="0042495A" w:rsidRPr="00122B79" w:rsidRDefault="0042495A">
      <w:pPr>
        <w:spacing w:before="0" w:after="0"/>
        <w:ind w:left="3960"/>
        <w:jc w:val="center"/>
        <w:rPr>
          <w:rFonts w:ascii="Times New Roman" w:hAnsi="Times New Roman"/>
          <w:b/>
          <w:bCs/>
          <w:szCs w:val="22"/>
        </w:rPr>
      </w:pPr>
      <w:r w:rsidRPr="00122B79">
        <w:rPr>
          <w:rFonts w:ascii="Times New Roman" w:hAnsi="Times New Roman"/>
          <w:b/>
          <w:bCs/>
          <w:szCs w:val="22"/>
        </w:rPr>
        <w:t xml:space="preserve">DIRECTOR </w:t>
      </w:r>
    </w:p>
    <w:p w:rsidR="0042495A" w:rsidRDefault="0042495A">
      <w:pPr>
        <w:spacing w:before="0" w:after="0"/>
        <w:rPr>
          <w:rFonts w:ascii="Times New Roman" w:hAnsi="Times New Roman"/>
          <w:szCs w:val="22"/>
        </w:rPr>
      </w:pPr>
    </w:p>
    <w:p w:rsidR="00CF1454" w:rsidRDefault="00CF1454">
      <w:pPr>
        <w:spacing w:before="0" w:after="0"/>
        <w:rPr>
          <w:rFonts w:ascii="Times New Roman" w:hAnsi="Times New Roman"/>
          <w:szCs w:val="22"/>
        </w:rPr>
      </w:pPr>
    </w:p>
    <w:p w:rsidR="00CF1454" w:rsidRDefault="00CF1454">
      <w:pPr>
        <w:spacing w:before="0" w:after="0"/>
        <w:rPr>
          <w:rFonts w:ascii="Times New Roman" w:hAnsi="Times New Roman"/>
          <w:szCs w:val="22"/>
        </w:rPr>
      </w:pPr>
    </w:p>
    <w:p w:rsidR="00BF35F9" w:rsidRDefault="00BF35F9">
      <w:pPr>
        <w:spacing w:before="0" w:after="0"/>
        <w:rPr>
          <w:rFonts w:ascii="Times New Roman" w:hAnsi="Times New Roman"/>
          <w:szCs w:val="22"/>
        </w:rPr>
      </w:pPr>
    </w:p>
    <w:p w:rsidR="00BF35F9" w:rsidRDefault="00BF35F9">
      <w:pPr>
        <w:spacing w:before="0" w:after="0"/>
        <w:rPr>
          <w:rFonts w:ascii="Times New Roman" w:hAnsi="Times New Roman"/>
          <w:szCs w:val="22"/>
        </w:rPr>
      </w:pPr>
    </w:p>
    <w:p w:rsidR="00CF1454" w:rsidRDefault="00CF1454">
      <w:pPr>
        <w:spacing w:before="0" w:after="0"/>
        <w:rPr>
          <w:rFonts w:ascii="Times New Roman" w:hAnsi="Times New Roman"/>
          <w:szCs w:val="22"/>
        </w:rPr>
      </w:pPr>
    </w:p>
    <w:p w:rsidR="00CF1454" w:rsidRDefault="00CF1454" w:rsidP="00CF1454">
      <w:pPr>
        <w:spacing w:before="0" w:after="0"/>
        <w:jc w:val="center"/>
        <w:rPr>
          <w:rFonts w:ascii="Times New Roman" w:hAnsi="Times New Roman"/>
          <w:szCs w:val="22"/>
        </w:rPr>
      </w:pPr>
      <w:r>
        <w:rPr>
          <w:rFonts w:ascii="Times New Roman" w:hAnsi="Times New Roman"/>
          <w:szCs w:val="22"/>
        </w:rPr>
        <w:t>Oficio N° 2986, de 31.10.2012</w:t>
      </w:r>
    </w:p>
    <w:p w:rsidR="00CF1454" w:rsidRDefault="00CF1454" w:rsidP="00CF1454">
      <w:pPr>
        <w:spacing w:before="0" w:after="0"/>
        <w:jc w:val="center"/>
        <w:rPr>
          <w:rFonts w:ascii="Times New Roman" w:hAnsi="Times New Roman"/>
          <w:b/>
          <w:szCs w:val="22"/>
        </w:rPr>
      </w:pPr>
      <w:r>
        <w:rPr>
          <w:rFonts w:ascii="Times New Roman" w:hAnsi="Times New Roman"/>
          <w:b/>
          <w:szCs w:val="22"/>
        </w:rPr>
        <w:t>Subdirección Normativa</w:t>
      </w:r>
    </w:p>
    <w:p w:rsidR="00CF1454" w:rsidRPr="00CF1454" w:rsidRDefault="00CF1454" w:rsidP="00CF1454">
      <w:pPr>
        <w:spacing w:before="0" w:after="0"/>
        <w:jc w:val="center"/>
        <w:rPr>
          <w:rFonts w:ascii="Times New Roman" w:hAnsi="Times New Roman"/>
          <w:szCs w:val="22"/>
        </w:rPr>
      </w:pPr>
      <w:r>
        <w:rPr>
          <w:rFonts w:ascii="Times New Roman" w:hAnsi="Times New Roman"/>
          <w:szCs w:val="22"/>
        </w:rPr>
        <w:t>Dpto. de Impuestos Directos</w:t>
      </w:r>
    </w:p>
    <w:sectPr w:rsidR="00CF1454" w:rsidRPr="00CF1454" w:rsidSect="00AC2828">
      <w:pgSz w:w="12242" w:h="18722" w:code="165"/>
      <w:pgMar w:top="1276"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A10F4"/>
    <w:multiLevelType w:val="hybridMultilevel"/>
    <w:tmpl w:val="33ACB4DE"/>
    <w:lvl w:ilvl="0" w:tplc="45789D98">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65454EDE"/>
    <w:multiLevelType w:val="hybridMultilevel"/>
    <w:tmpl w:val="B9FC80EA"/>
    <w:lvl w:ilvl="0" w:tplc="45789D98">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7CDB228E"/>
    <w:multiLevelType w:val="hybridMultilevel"/>
    <w:tmpl w:val="C688FBD0"/>
    <w:lvl w:ilvl="0" w:tplc="45789D98">
      <w:start w:val="1"/>
      <w:numFmt w:val="bullet"/>
      <w:lvlText w:val=""/>
      <w:lvlJc w:val="left"/>
      <w:pPr>
        <w:ind w:left="720" w:hanging="360"/>
      </w:pPr>
      <w:rPr>
        <w:rFonts w:ascii="Symbol" w:hAnsi="Symbol" w:hint="default"/>
      </w:rPr>
    </w:lvl>
    <w:lvl w:ilvl="1" w:tplc="E6FE3802">
      <w:numFmt w:val="bullet"/>
      <w:lvlText w:val="-"/>
      <w:lvlJc w:val="left"/>
      <w:pPr>
        <w:ind w:left="1440" w:hanging="360"/>
      </w:pPr>
      <w:rPr>
        <w:rFonts w:ascii="Arial" w:eastAsia="Times New Roman" w:hAnsi="Arial" w:cs="Arial"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6"/>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compat/>
  <w:rsids>
    <w:rsidRoot w:val="00573541"/>
    <w:rsid w:val="00002C4E"/>
    <w:rsid w:val="00014346"/>
    <w:rsid w:val="00090C13"/>
    <w:rsid w:val="000B4F1A"/>
    <w:rsid w:val="000E7093"/>
    <w:rsid w:val="00122B79"/>
    <w:rsid w:val="0014774C"/>
    <w:rsid w:val="001569A1"/>
    <w:rsid w:val="001643E2"/>
    <w:rsid w:val="00187F70"/>
    <w:rsid w:val="001B3C78"/>
    <w:rsid w:val="001C103A"/>
    <w:rsid w:val="001E1D26"/>
    <w:rsid w:val="002178FA"/>
    <w:rsid w:val="002348DA"/>
    <w:rsid w:val="00237654"/>
    <w:rsid w:val="002B6C01"/>
    <w:rsid w:val="003B2CC9"/>
    <w:rsid w:val="003E11F8"/>
    <w:rsid w:val="003E7E78"/>
    <w:rsid w:val="0042495A"/>
    <w:rsid w:val="004424FB"/>
    <w:rsid w:val="00500A6B"/>
    <w:rsid w:val="005167D7"/>
    <w:rsid w:val="00562E34"/>
    <w:rsid w:val="00573541"/>
    <w:rsid w:val="00644980"/>
    <w:rsid w:val="0067668F"/>
    <w:rsid w:val="006E32F3"/>
    <w:rsid w:val="006F3E7F"/>
    <w:rsid w:val="00716A25"/>
    <w:rsid w:val="00723818"/>
    <w:rsid w:val="00743E74"/>
    <w:rsid w:val="00771B60"/>
    <w:rsid w:val="007A23B9"/>
    <w:rsid w:val="007B0A78"/>
    <w:rsid w:val="007C3A7C"/>
    <w:rsid w:val="007E74F0"/>
    <w:rsid w:val="00800AFB"/>
    <w:rsid w:val="00827F11"/>
    <w:rsid w:val="00843564"/>
    <w:rsid w:val="00850B0C"/>
    <w:rsid w:val="0090553B"/>
    <w:rsid w:val="0090759D"/>
    <w:rsid w:val="00924E63"/>
    <w:rsid w:val="00926BF2"/>
    <w:rsid w:val="009334DD"/>
    <w:rsid w:val="009503EE"/>
    <w:rsid w:val="00986830"/>
    <w:rsid w:val="00997773"/>
    <w:rsid w:val="009D1FE7"/>
    <w:rsid w:val="009D307C"/>
    <w:rsid w:val="00A01215"/>
    <w:rsid w:val="00A7625E"/>
    <w:rsid w:val="00AC2828"/>
    <w:rsid w:val="00AD3378"/>
    <w:rsid w:val="00B3301F"/>
    <w:rsid w:val="00B9686C"/>
    <w:rsid w:val="00BA51BC"/>
    <w:rsid w:val="00BC7BD8"/>
    <w:rsid w:val="00BE3A07"/>
    <w:rsid w:val="00BF11EB"/>
    <w:rsid w:val="00BF35F9"/>
    <w:rsid w:val="00C50F9D"/>
    <w:rsid w:val="00CB500E"/>
    <w:rsid w:val="00CD08ED"/>
    <w:rsid w:val="00CE272B"/>
    <w:rsid w:val="00CF1454"/>
    <w:rsid w:val="00D05EFD"/>
    <w:rsid w:val="00D81F54"/>
    <w:rsid w:val="00E21C68"/>
    <w:rsid w:val="00E27D31"/>
    <w:rsid w:val="00EE1065"/>
    <w:rsid w:val="00F2327F"/>
    <w:rsid w:val="00F639A4"/>
    <w:rsid w:val="00F74EA6"/>
    <w:rsid w:val="00FC5D5B"/>
    <w:rsid w:val="00FE34BB"/>
    <w:rsid w:val="00FF678B"/>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DA"/>
    <w:pPr>
      <w:spacing w:before="120" w:after="120"/>
      <w:jc w:val="both"/>
    </w:pPr>
    <w:rPr>
      <w:rFonts w:ascii="Arial" w:hAnsi="Arial"/>
      <w:sz w:val="22"/>
      <w:szCs w:val="24"/>
      <w:lang w:val="es-ES" w:eastAsia="es-ES"/>
    </w:rPr>
  </w:style>
  <w:style w:type="paragraph" w:styleId="Ttulo1">
    <w:name w:val="heading 1"/>
    <w:basedOn w:val="Normal"/>
    <w:next w:val="Normal"/>
    <w:qFormat/>
    <w:rsid w:val="002348DA"/>
    <w:pPr>
      <w:keepNext/>
      <w:outlineLvl w:val="0"/>
    </w:pPr>
    <w:rPr>
      <w:rFonts w:cs="Arial"/>
      <w:b/>
      <w:bCs/>
    </w:rPr>
  </w:style>
  <w:style w:type="paragraph" w:styleId="Ttulo2">
    <w:name w:val="heading 2"/>
    <w:basedOn w:val="Normal"/>
    <w:next w:val="Normal"/>
    <w:qFormat/>
    <w:rsid w:val="002348DA"/>
    <w:pPr>
      <w:keepNext/>
      <w:ind w:left="5400"/>
      <w:outlineLvl w:val="1"/>
    </w:pPr>
    <w:rPr>
      <w:rFonts w:cs="Arial"/>
      <w:b/>
      <w:bCs/>
    </w:rPr>
  </w:style>
  <w:style w:type="paragraph" w:styleId="Ttulo3">
    <w:name w:val="heading 3"/>
    <w:basedOn w:val="Normal"/>
    <w:next w:val="Normal"/>
    <w:link w:val="Ttulo3Car"/>
    <w:qFormat/>
    <w:rsid w:val="002348DA"/>
    <w:pPr>
      <w:keepNext/>
      <w:outlineLvl w:val="2"/>
    </w:pPr>
    <w:rPr>
      <w:rFonts w:cs="Arial"/>
      <w:sz w:val="20"/>
      <w:u w:val="single"/>
    </w:rPr>
  </w:style>
  <w:style w:type="paragraph" w:styleId="Ttulo4">
    <w:name w:val="heading 4"/>
    <w:basedOn w:val="Normal"/>
    <w:next w:val="Normal"/>
    <w:qFormat/>
    <w:rsid w:val="002348DA"/>
    <w:pPr>
      <w:keepNext/>
      <w:outlineLvl w:val="3"/>
    </w:pPr>
    <w:rPr>
      <w:rFonts w:cs="Arial"/>
      <w:b/>
      <w:bCs/>
    </w:rPr>
  </w:style>
  <w:style w:type="paragraph" w:styleId="Ttulo5">
    <w:name w:val="heading 5"/>
    <w:basedOn w:val="Normal"/>
    <w:next w:val="Normal"/>
    <w:qFormat/>
    <w:rsid w:val="002348DA"/>
    <w:pPr>
      <w:keepNext/>
      <w:ind w:left="720" w:hanging="720"/>
      <w:outlineLvl w:val="4"/>
    </w:pPr>
    <w:rPr>
      <w:rFonts w:cs="Arial"/>
      <w:b/>
      <w:bCs/>
    </w:rPr>
  </w:style>
  <w:style w:type="paragraph" w:styleId="Ttulo6">
    <w:name w:val="heading 6"/>
    <w:basedOn w:val="Normal"/>
    <w:next w:val="Normal"/>
    <w:qFormat/>
    <w:rsid w:val="002348DA"/>
    <w:pPr>
      <w:keepNext/>
      <w:ind w:left="3960"/>
      <w:jc w:val="center"/>
      <w:outlineLvl w:val="5"/>
    </w:pPr>
    <w:rPr>
      <w:rFonts w:cs="Arial"/>
      <w:b/>
      <w:bCs/>
    </w:rPr>
  </w:style>
  <w:style w:type="paragraph" w:styleId="Ttulo7">
    <w:name w:val="heading 7"/>
    <w:basedOn w:val="Normal"/>
    <w:next w:val="Normal"/>
    <w:qFormat/>
    <w:rsid w:val="002348DA"/>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2348DA"/>
    <w:pPr>
      <w:ind w:left="5400"/>
    </w:pPr>
    <w:rPr>
      <w:rFonts w:cs="Arial"/>
      <w:b/>
      <w:bCs/>
    </w:rPr>
  </w:style>
  <w:style w:type="paragraph" w:styleId="Textoindependiente">
    <w:name w:val="Body Text"/>
    <w:basedOn w:val="Normal"/>
    <w:semiHidden/>
    <w:rsid w:val="002348DA"/>
    <w:rPr>
      <w:rFonts w:cs="Arial"/>
    </w:rPr>
  </w:style>
  <w:style w:type="paragraph" w:styleId="Sangra2detindependiente">
    <w:name w:val="Body Text Indent 2"/>
    <w:basedOn w:val="Normal"/>
    <w:semiHidden/>
    <w:rsid w:val="002348DA"/>
    <w:pPr>
      <w:ind w:left="360"/>
    </w:pPr>
    <w:rPr>
      <w:rFonts w:cs="Arial"/>
    </w:rPr>
  </w:style>
  <w:style w:type="paragraph" w:styleId="Sangra3detindependiente">
    <w:name w:val="Body Text Indent 3"/>
    <w:basedOn w:val="Normal"/>
    <w:semiHidden/>
    <w:rsid w:val="002348DA"/>
    <w:pPr>
      <w:ind w:left="720" w:hanging="720"/>
    </w:pPr>
    <w:rPr>
      <w:rFonts w:cs="Arial"/>
    </w:rPr>
  </w:style>
  <w:style w:type="character" w:styleId="Nmerodepgina">
    <w:name w:val="page number"/>
    <w:basedOn w:val="Fuentedeprrafopredeter"/>
    <w:semiHidden/>
    <w:rsid w:val="002348DA"/>
  </w:style>
  <w:style w:type="character" w:customStyle="1" w:styleId="Ttulo3Car">
    <w:name w:val="Título 3 Car"/>
    <w:basedOn w:val="Fuentedeprrafopredeter"/>
    <w:link w:val="Ttulo3"/>
    <w:rsid w:val="00AC2828"/>
    <w:rPr>
      <w:rFonts w:ascii="Arial" w:hAnsi="Arial" w:cs="Arial"/>
      <w:szCs w:val="24"/>
      <w:u w:val="single"/>
      <w:lang w:val="es-ES" w:eastAsia="es-ES"/>
    </w:rPr>
  </w:style>
  <w:style w:type="character" w:styleId="Refdecomentario">
    <w:name w:val="annotation reference"/>
    <w:basedOn w:val="Fuentedeprrafopredeter"/>
    <w:uiPriority w:val="99"/>
    <w:semiHidden/>
    <w:unhideWhenUsed/>
    <w:rsid w:val="00827F11"/>
    <w:rPr>
      <w:sz w:val="16"/>
      <w:szCs w:val="16"/>
    </w:rPr>
  </w:style>
  <w:style w:type="paragraph" w:styleId="Textocomentario">
    <w:name w:val="annotation text"/>
    <w:basedOn w:val="Normal"/>
    <w:link w:val="TextocomentarioCar"/>
    <w:uiPriority w:val="99"/>
    <w:semiHidden/>
    <w:unhideWhenUsed/>
    <w:rsid w:val="00827F11"/>
    <w:rPr>
      <w:sz w:val="20"/>
      <w:szCs w:val="20"/>
    </w:rPr>
  </w:style>
  <w:style w:type="character" w:customStyle="1" w:styleId="TextocomentarioCar">
    <w:name w:val="Texto comentario Car"/>
    <w:basedOn w:val="Fuentedeprrafopredeter"/>
    <w:link w:val="Textocomentario"/>
    <w:uiPriority w:val="99"/>
    <w:semiHidden/>
    <w:rsid w:val="00827F1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827F11"/>
    <w:rPr>
      <w:b/>
      <w:bCs/>
    </w:rPr>
  </w:style>
  <w:style w:type="character" w:customStyle="1" w:styleId="AsuntodelcomentarioCar">
    <w:name w:val="Asunto del comentario Car"/>
    <w:basedOn w:val="TextocomentarioCar"/>
    <w:link w:val="Asuntodelcomentario"/>
    <w:uiPriority w:val="99"/>
    <w:semiHidden/>
    <w:rsid w:val="00827F11"/>
    <w:rPr>
      <w:b/>
      <w:bCs/>
    </w:rPr>
  </w:style>
  <w:style w:type="paragraph" w:styleId="Textodeglobo">
    <w:name w:val="Balloon Text"/>
    <w:basedOn w:val="Normal"/>
    <w:link w:val="TextodegloboCar"/>
    <w:uiPriority w:val="99"/>
    <w:semiHidden/>
    <w:unhideWhenUsed/>
    <w:rsid w:val="00827F11"/>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27F11"/>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60AA1-6A83-4C50-AC5E-D7972192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1</TotalTime>
  <Pages>2</Pages>
  <Words>804</Words>
  <Characters>4426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2</cp:revision>
  <cp:lastPrinted>2012-10-19T12:11:00Z</cp:lastPrinted>
  <dcterms:created xsi:type="dcterms:W3CDTF">2012-11-21T21:24:00Z</dcterms:created>
  <dcterms:modified xsi:type="dcterms:W3CDTF">2012-11-21T21:24:00Z</dcterms:modified>
</cp:coreProperties>
</file>