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2E" w:rsidRDefault="004C2047" w:rsidP="004C2047">
      <w:pPr>
        <w:contextualSpacing/>
        <w:jc w:val="center"/>
        <w:rPr>
          <w:rFonts w:ascii="Times New Roman" w:hAnsi="Times New Roman" w:cs="Times New Roman"/>
          <w:b/>
        </w:rPr>
      </w:pPr>
      <w:r w:rsidRPr="00A35177">
        <w:rPr>
          <w:rFonts w:ascii="Times New Roman" w:hAnsi="Times New Roman" w:cs="Times New Roman"/>
          <w:b/>
        </w:rPr>
        <w:t>RENTA – ACTUAL LEY SOBRE IMPUESTO A LA –</w:t>
      </w:r>
      <w:r>
        <w:rPr>
          <w:rFonts w:ascii="Times New Roman" w:hAnsi="Times New Roman" w:cs="Times New Roman"/>
          <w:b/>
        </w:rPr>
        <w:t xml:space="preserve"> AR</w:t>
      </w:r>
      <w:bookmarkStart w:id="0" w:name="_GoBack"/>
      <w:bookmarkEnd w:id="0"/>
      <w:r>
        <w:rPr>
          <w:rFonts w:ascii="Times New Roman" w:hAnsi="Times New Roman" w:cs="Times New Roman"/>
          <w:b/>
        </w:rPr>
        <w:t>T. 55° TER – LEY N° 20.630, DE 2012 – CIRCULAR N° 6, DE 2013. (ORD. N° 573, DE 24.02.2015)</w:t>
      </w:r>
    </w:p>
    <w:p w:rsidR="004C2047" w:rsidRPr="004C2047" w:rsidRDefault="004C2047" w:rsidP="004C2047">
      <w:pPr>
        <w:contextualSpacing/>
        <w:jc w:val="cente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797C74" w:rsidRPr="00331BE5" w:rsidRDefault="004E67DA" w:rsidP="0042114B">
      <w:pPr>
        <w:spacing w:line="240" w:lineRule="auto"/>
        <w:jc w:val="both"/>
        <w:rPr>
          <w:rFonts w:ascii="Times New Roman" w:hAnsi="Times New Roman" w:cs="Times New Roman"/>
          <w:b/>
        </w:rPr>
      </w:pPr>
      <w:r w:rsidRPr="00331BE5">
        <w:rPr>
          <w:rFonts w:ascii="Times New Roman" w:hAnsi="Times New Roman" w:cs="Times New Roman"/>
          <w:b/>
        </w:rPr>
        <w:t>Solicita introducir medida en caso que indica respecto del derecho a c</w:t>
      </w:r>
      <w:r w:rsidR="00F00633" w:rsidRPr="00331BE5">
        <w:rPr>
          <w:rFonts w:ascii="Times New Roman" w:hAnsi="Times New Roman" w:cs="Times New Roman"/>
          <w:b/>
        </w:rPr>
        <w:t>rédito por gastos de educación</w:t>
      </w:r>
      <w:r w:rsidRPr="00331BE5">
        <w:rPr>
          <w:rFonts w:ascii="Times New Roman" w:hAnsi="Times New Roman" w:cs="Times New Roman"/>
          <w:b/>
        </w:rPr>
        <w:t xml:space="preserve"> establecido en el artículo 55 ter de la Ley sobre Impuesto a la Renta</w:t>
      </w:r>
      <w:r w:rsidR="00F00633" w:rsidRPr="00331BE5">
        <w:rPr>
          <w:rFonts w:ascii="Times New Roman" w:hAnsi="Times New Roman" w:cs="Times New Roman"/>
          <w:b/>
        </w:rPr>
        <w:t>.</w:t>
      </w:r>
    </w:p>
    <w:p w:rsidR="006D3E02" w:rsidRPr="004C6D11" w:rsidRDefault="006D3E02" w:rsidP="004C6D11">
      <w:pPr>
        <w:spacing w:line="240" w:lineRule="auto"/>
        <w:ind w:left="4253" w:hanging="851"/>
        <w:jc w:val="both"/>
        <w:rPr>
          <w:rFonts w:ascii="Times New Roman" w:hAnsi="Times New Roman" w:cs="Times New Roman"/>
        </w:rPr>
      </w:pPr>
    </w:p>
    <w:p w:rsidR="004E67DA" w:rsidRPr="004C6D11" w:rsidRDefault="004E67DA" w:rsidP="004C6D11">
      <w:pPr>
        <w:spacing w:line="240" w:lineRule="auto"/>
        <w:jc w:val="both"/>
        <w:rPr>
          <w:rFonts w:ascii="Times New Roman" w:hAnsi="Times New Roman" w:cs="Times New Roman"/>
          <w:b/>
        </w:rPr>
      </w:pPr>
      <w:r w:rsidRPr="004C6D11">
        <w:rPr>
          <w:rFonts w:ascii="Times New Roman" w:hAnsi="Times New Roman" w:cs="Times New Roman"/>
          <w:b/>
        </w:rPr>
        <w:t>I</w:t>
      </w:r>
      <w:r w:rsidRPr="004C6D11">
        <w:rPr>
          <w:rFonts w:ascii="Times New Roman" w:hAnsi="Times New Roman" w:cs="Times New Roman"/>
          <w:b/>
        </w:rPr>
        <w:tab/>
        <w:t>ANTECEDENTES</w:t>
      </w:r>
    </w:p>
    <w:p w:rsidR="00E039CB" w:rsidRPr="004C6D11" w:rsidRDefault="004E67DA" w:rsidP="004C6D11">
      <w:pPr>
        <w:spacing w:line="240" w:lineRule="auto"/>
        <w:jc w:val="both"/>
        <w:rPr>
          <w:rFonts w:ascii="Times New Roman" w:hAnsi="Times New Roman" w:cs="Times New Roman"/>
        </w:rPr>
      </w:pPr>
      <w:r w:rsidRPr="004C6D11">
        <w:rPr>
          <w:rFonts w:ascii="Times New Roman" w:hAnsi="Times New Roman" w:cs="Times New Roman"/>
        </w:rPr>
        <w:t xml:space="preserve">Mediante presentación efectuada por la Sra. </w:t>
      </w:r>
      <w:r w:rsidR="000F1337">
        <w:rPr>
          <w:rFonts w:ascii="Times New Roman" w:hAnsi="Times New Roman" w:cs="Times New Roman"/>
        </w:rPr>
        <w:t>XXX</w:t>
      </w:r>
      <w:r w:rsidRPr="004C6D11">
        <w:rPr>
          <w:rFonts w:ascii="Times New Roman" w:hAnsi="Times New Roman" w:cs="Times New Roman"/>
        </w:rPr>
        <w:t xml:space="preserve">, </w:t>
      </w:r>
      <w:r w:rsidR="00E039CB" w:rsidRPr="004C6D11">
        <w:rPr>
          <w:rFonts w:ascii="Times New Roman" w:hAnsi="Times New Roman" w:cs="Times New Roman"/>
        </w:rPr>
        <w:t xml:space="preserve">informa que es madre soltera y cría un hijo respecto del cual su padre </w:t>
      </w:r>
      <w:r w:rsidR="00CC704F" w:rsidRPr="004C6D11">
        <w:rPr>
          <w:rFonts w:ascii="Times New Roman" w:hAnsi="Times New Roman" w:cs="Times New Roman"/>
        </w:rPr>
        <w:t>únicamente otorga una pensión de $</w:t>
      </w:r>
      <w:r w:rsidR="00873A2E">
        <w:rPr>
          <w:rFonts w:ascii="Times New Roman" w:hAnsi="Times New Roman" w:cs="Times New Roman"/>
        </w:rPr>
        <w:t>xxxxxx</w:t>
      </w:r>
      <w:r w:rsidR="00CC704F" w:rsidRPr="004C6D11">
        <w:rPr>
          <w:rFonts w:ascii="Times New Roman" w:hAnsi="Times New Roman" w:cs="Times New Roman"/>
        </w:rPr>
        <w:t>.</w:t>
      </w:r>
    </w:p>
    <w:p w:rsidR="00CC704F" w:rsidRPr="004C6D11" w:rsidRDefault="00EB3563" w:rsidP="004C6D11">
      <w:pPr>
        <w:spacing w:line="240" w:lineRule="auto"/>
        <w:jc w:val="both"/>
        <w:rPr>
          <w:rFonts w:ascii="Times New Roman" w:hAnsi="Times New Roman" w:cs="Times New Roman"/>
        </w:rPr>
      </w:pPr>
      <w:r w:rsidRPr="004C6D11">
        <w:rPr>
          <w:rFonts w:ascii="Times New Roman" w:hAnsi="Times New Roman" w:cs="Times New Roman"/>
        </w:rPr>
        <w:t>No obstante lo anterior</w:t>
      </w:r>
      <w:r w:rsidR="00CC704F" w:rsidRPr="004C6D11">
        <w:rPr>
          <w:rFonts w:ascii="Times New Roman" w:hAnsi="Times New Roman" w:cs="Times New Roman"/>
        </w:rPr>
        <w:t>, expone que</w:t>
      </w:r>
      <w:r w:rsidRPr="004C6D11">
        <w:rPr>
          <w:rFonts w:ascii="Times New Roman" w:hAnsi="Times New Roman" w:cs="Times New Roman"/>
        </w:rPr>
        <w:t>,</w:t>
      </w:r>
      <w:r w:rsidR="00CC704F" w:rsidRPr="004C6D11">
        <w:rPr>
          <w:rFonts w:ascii="Times New Roman" w:hAnsi="Times New Roman" w:cs="Times New Roman"/>
        </w:rPr>
        <w:t xml:space="preserve"> </w:t>
      </w:r>
      <w:r w:rsidRPr="004C6D11">
        <w:rPr>
          <w:rFonts w:ascii="Times New Roman" w:hAnsi="Times New Roman" w:cs="Times New Roman"/>
        </w:rPr>
        <w:t>para</w:t>
      </w:r>
      <w:r w:rsidR="00CC704F" w:rsidRPr="004C6D11">
        <w:rPr>
          <w:rFonts w:ascii="Times New Roman" w:hAnsi="Times New Roman" w:cs="Times New Roman"/>
        </w:rPr>
        <w:t xml:space="preserve"> rebajar los gastos educacionales</w:t>
      </w:r>
      <w:r w:rsidRPr="004C6D11">
        <w:rPr>
          <w:rFonts w:ascii="Times New Roman" w:hAnsi="Times New Roman" w:cs="Times New Roman"/>
        </w:rPr>
        <w:t>,</w:t>
      </w:r>
      <w:r w:rsidR="00CC704F" w:rsidRPr="004C6D11">
        <w:rPr>
          <w:rFonts w:ascii="Times New Roman" w:hAnsi="Times New Roman" w:cs="Times New Roman"/>
        </w:rPr>
        <w:t xml:space="preserve"> se consideran las remuneraciones suyas y las del padre íntegramente, de manera que</w:t>
      </w:r>
      <w:r w:rsidR="00A41E01" w:rsidRPr="004C6D11">
        <w:rPr>
          <w:rFonts w:ascii="Times New Roman" w:hAnsi="Times New Roman" w:cs="Times New Roman"/>
        </w:rPr>
        <w:t>, finalmente</w:t>
      </w:r>
      <w:r w:rsidR="00CC704F" w:rsidRPr="004C6D11">
        <w:rPr>
          <w:rFonts w:ascii="Times New Roman" w:hAnsi="Times New Roman" w:cs="Times New Roman"/>
        </w:rPr>
        <w:t xml:space="preserve"> no ha podido acceder al beneficio.</w:t>
      </w:r>
      <w:r w:rsidRPr="004C6D11">
        <w:rPr>
          <w:rFonts w:ascii="Times New Roman" w:hAnsi="Times New Roman" w:cs="Times New Roman"/>
        </w:rPr>
        <w:t xml:space="preserve"> </w:t>
      </w:r>
      <w:r w:rsidR="00DC4688" w:rsidRPr="004C6D11">
        <w:rPr>
          <w:rFonts w:ascii="Times New Roman" w:hAnsi="Times New Roman" w:cs="Times New Roman"/>
        </w:rPr>
        <w:t>Adicionalmente</w:t>
      </w:r>
      <w:r w:rsidR="00A41E01" w:rsidRPr="004C6D11">
        <w:rPr>
          <w:rFonts w:ascii="Times New Roman" w:hAnsi="Times New Roman" w:cs="Times New Roman"/>
        </w:rPr>
        <w:t>,</w:t>
      </w:r>
      <w:r w:rsidR="00CC704F" w:rsidRPr="004C6D11">
        <w:rPr>
          <w:rFonts w:ascii="Times New Roman" w:hAnsi="Times New Roman" w:cs="Times New Roman"/>
        </w:rPr>
        <w:t xml:space="preserve"> indica que el padre no ha querido realizar la cesión del </w:t>
      </w:r>
      <w:r w:rsidR="00DC4688" w:rsidRPr="004C6D11">
        <w:rPr>
          <w:rFonts w:ascii="Times New Roman" w:hAnsi="Times New Roman" w:cs="Times New Roman"/>
        </w:rPr>
        <w:t>beneficio</w:t>
      </w:r>
      <w:r w:rsidR="00CC704F" w:rsidRPr="004C6D11">
        <w:rPr>
          <w:rFonts w:ascii="Times New Roman" w:hAnsi="Times New Roman" w:cs="Times New Roman"/>
        </w:rPr>
        <w:t xml:space="preserve"> conforme posibilita la ley.</w:t>
      </w:r>
    </w:p>
    <w:p w:rsidR="00E039CB" w:rsidRPr="004C6D11" w:rsidRDefault="00DC4688" w:rsidP="004C6D11">
      <w:pPr>
        <w:spacing w:line="240" w:lineRule="auto"/>
        <w:jc w:val="both"/>
        <w:rPr>
          <w:rFonts w:ascii="Times New Roman" w:hAnsi="Times New Roman" w:cs="Times New Roman"/>
        </w:rPr>
      </w:pPr>
      <w:r w:rsidRPr="004C6D11">
        <w:rPr>
          <w:rFonts w:ascii="Times New Roman" w:hAnsi="Times New Roman" w:cs="Times New Roman"/>
        </w:rPr>
        <w:t>De esta forma, consulta si es posible modificar dicha situación, en el sentido que, habiendo una pensión alimenticia asignada, debiera considerarse únicamente el monto de ésta como parte del ingreso total anual para acceder al referido beneficio.</w:t>
      </w:r>
    </w:p>
    <w:p w:rsidR="00F00633" w:rsidRPr="004C6D11" w:rsidRDefault="00E039CB" w:rsidP="004C6D11">
      <w:pPr>
        <w:spacing w:line="240" w:lineRule="auto"/>
        <w:jc w:val="both"/>
        <w:rPr>
          <w:rFonts w:ascii="Times New Roman" w:hAnsi="Times New Roman" w:cs="Times New Roman"/>
        </w:rPr>
      </w:pPr>
      <w:r w:rsidRPr="004C6D11">
        <w:rPr>
          <w:rFonts w:ascii="Times New Roman" w:hAnsi="Times New Roman" w:cs="Times New Roman"/>
        </w:rPr>
        <w:t>Al respecto, p</w:t>
      </w:r>
      <w:r w:rsidR="00B74108" w:rsidRPr="004C6D11">
        <w:rPr>
          <w:rFonts w:ascii="Times New Roman" w:hAnsi="Times New Roman" w:cs="Times New Roman"/>
        </w:rPr>
        <w:t>or especial encargo del Subsecretario de Hacienda</w:t>
      </w:r>
      <w:r w:rsidRPr="004C6D11">
        <w:rPr>
          <w:rFonts w:ascii="Times New Roman" w:hAnsi="Times New Roman" w:cs="Times New Roman"/>
        </w:rPr>
        <w:t xml:space="preserve">, a continuación </w:t>
      </w:r>
      <w:r w:rsidR="00B74108" w:rsidRPr="004C6D11">
        <w:rPr>
          <w:rFonts w:ascii="Times New Roman" w:hAnsi="Times New Roman" w:cs="Times New Roman"/>
        </w:rPr>
        <w:t>se da respuesta a la presentación que usted hiciera a S.E. la Presidenta de la República.</w:t>
      </w:r>
    </w:p>
    <w:p w:rsidR="006D3E02" w:rsidRPr="004C6D11" w:rsidRDefault="006D3E02" w:rsidP="004C6D11">
      <w:pPr>
        <w:spacing w:line="240" w:lineRule="auto"/>
        <w:jc w:val="both"/>
        <w:rPr>
          <w:rFonts w:ascii="Times New Roman" w:hAnsi="Times New Roman" w:cs="Times New Roman"/>
        </w:rPr>
      </w:pPr>
    </w:p>
    <w:p w:rsidR="00E039CB" w:rsidRPr="004C6D11" w:rsidRDefault="00E039CB" w:rsidP="004C6D11">
      <w:pPr>
        <w:spacing w:line="240" w:lineRule="auto"/>
        <w:jc w:val="both"/>
        <w:rPr>
          <w:rFonts w:ascii="Times New Roman" w:hAnsi="Times New Roman" w:cs="Times New Roman"/>
          <w:b/>
        </w:rPr>
      </w:pPr>
      <w:r w:rsidRPr="004C6D11">
        <w:rPr>
          <w:rFonts w:ascii="Times New Roman" w:hAnsi="Times New Roman" w:cs="Times New Roman"/>
          <w:b/>
        </w:rPr>
        <w:t>II</w:t>
      </w:r>
      <w:r w:rsidRPr="004C6D11">
        <w:rPr>
          <w:rFonts w:ascii="Times New Roman" w:hAnsi="Times New Roman" w:cs="Times New Roman"/>
          <w:b/>
        </w:rPr>
        <w:tab/>
        <w:t>ANÁLISIS</w:t>
      </w:r>
    </w:p>
    <w:p w:rsidR="00E039CB" w:rsidRPr="004C6D11" w:rsidRDefault="004E79A4" w:rsidP="004C6D11">
      <w:pPr>
        <w:spacing w:after="0" w:line="240" w:lineRule="auto"/>
        <w:jc w:val="both"/>
        <w:rPr>
          <w:rFonts w:ascii="Times New Roman" w:hAnsi="Times New Roman" w:cs="Times New Roman"/>
        </w:rPr>
      </w:pPr>
      <w:r w:rsidRPr="004C6D11">
        <w:rPr>
          <w:rFonts w:ascii="Times New Roman" w:hAnsi="Times New Roman" w:cs="Times New Roman"/>
        </w:rPr>
        <w:t>Sobre el particular, este Servicio se permite señalar</w:t>
      </w:r>
      <w:r w:rsidR="005A08AE" w:rsidRPr="004C6D11">
        <w:rPr>
          <w:rFonts w:ascii="Times New Roman" w:hAnsi="Times New Roman" w:cs="Times New Roman"/>
        </w:rPr>
        <w:t xml:space="preserve"> que al artículo 55 ter de la Ley sobre Impuesto a la Renta (LIR), incorporado en ese cuerpo legal a partir del </w:t>
      </w:r>
      <w:r w:rsidR="00E039CB" w:rsidRPr="004C6D11">
        <w:rPr>
          <w:rFonts w:ascii="Times New Roman" w:hAnsi="Times New Roman" w:cs="Times New Roman"/>
        </w:rPr>
        <w:t>01.01.2013, por la Ley N° 20.630, estableció</w:t>
      </w:r>
      <w:r w:rsidR="00647E2C" w:rsidRPr="004C6D11">
        <w:rPr>
          <w:rFonts w:ascii="Times New Roman" w:hAnsi="Times New Roman" w:cs="Times New Roman"/>
        </w:rPr>
        <w:t xml:space="preserve"> un crédito </w:t>
      </w:r>
      <w:r w:rsidR="00E039CB" w:rsidRPr="004C6D11">
        <w:rPr>
          <w:rFonts w:ascii="Times New Roman" w:hAnsi="Times New Roman" w:cs="Times New Roman"/>
        </w:rPr>
        <w:t>por gastos en educación imputable al I</w:t>
      </w:r>
      <w:r w:rsidR="00647E2C" w:rsidRPr="004C6D11">
        <w:rPr>
          <w:rFonts w:ascii="Times New Roman" w:hAnsi="Times New Roman" w:cs="Times New Roman"/>
        </w:rPr>
        <w:t xml:space="preserve">mpuesto </w:t>
      </w:r>
      <w:r w:rsidR="00E039CB" w:rsidRPr="004C6D11">
        <w:rPr>
          <w:rFonts w:ascii="Times New Roman" w:hAnsi="Times New Roman" w:cs="Times New Roman"/>
        </w:rPr>
        <w:t>Ú</w:t>
      </w:r>
      <w:r w:rsidR="00647E2C" w:rsidRPr="004C6D11">
        <w:rPr>
          <w:rFonts w:ascii="Times New Roman" w:hAnsi="Times New Roman" w:cs="Times New Roman"/>
        </w:rPr>
        <w:t>n</w:t>
      </w:r>
      <w:r w:rsidR="00A72A8A" w:rsidRPr="004C6D11">
        <w:rPr>
          <w:rFonts w:ascii="Times New Roman" w:hAnsi="Times New Roman" w:cs="Times New Roman"/>
        </w:rPr>
        <w:t xml:space="preserve">ico </w:t>
      </w:r>
      <w:r w:rsidR="00E039CB" w:rsidRPr="004C6D11">
        <w:rPr>
          <w:rFonts w:ascii="Times New Roman" w:hAnsi="Times New Roman" w:cs="Times New Roman"/>
        </w:rPr>
        <w:t xml:space="preserve">de Segunda Categoría </w:t>
      </w:r>
      <w:r w:rsidR="00A72A8A" w:rsidRPr="004C6D11">
        <w:rPr>
          <w:rFonts w:ascii="Times New Roman" w:hAnsi="Times New Roman" w:cs="Times New Roman"/>
        </w:rPr>
        <w:t xml:space="preserve">o </w:t>
      </w:r>
      <w:r w:rsidR="00E039CB" w:rsidRPr="004C6D11">
        <w:rPr>
          <w:rFonts w:ascii="Times New Roman" w:hAnsi="Times New Roman" w:cs="Times New Roman"/>
        </w:rPr>
        <w:t>al I</w:t>
      </w:r>
      <w:r w:rsidR="00647E2C" w:rsidRPr="004C6D11">
        <w:rPr>
          <w:rFonts w:ascii="Times New Roman" w:hAnsi="Times New Roman" w:cs="Times New Roman"/>
        </w:rPr>
        <w:t xml:space="preserve">mpuesto </w:t>
      </w:r>
      <w:r w:rsidR="00E039CB" w:rsidRPr="004C6D11">
        <w:rPr>
          <w:rFonts w:ascii="Times New Roman" w:hAnsi="Times New Roman" w:cs="Times New Roman"/>
        </w:rPr>
        <w:t>G</w:t>
      </w:r>
      <w:r w:rsidR="00647E2C" w:rsidRPr="004C6D11">
        <w:rPr>
          <w:rFonts w:ascii="Times New Roman" w:hAnsi="Times New Roman" w:cs="Times New Roman"/>
        </w:rPr>
        <w:t xml:space="preserve">lobal </w:t>
      </w:r>
      <w:r w:rsidR="00E039CB" w:rsidRPr="004C6D11">
        <w:rPr>
          <w:rFonts w:ascii="Times New Roman" w:hAnsi="Times New Roman" w:cs="Times New Roman"/>
        </w:rPr>
        <w:t>C</w:t>
      </w:r>
      <w:r w:rsidR="00647E2C" w:rsidRPr="004C6D11">
        <w:rPr>
          <w:rFonts w:ascii="Times New Roman" w:hAnsi="Times New Roman" w:cs="Times New Roman"/>
        </w:rPr>
        <w:t>omplementario,</w:t>
      </w:r>
      <w:r w:rsidR="00E039CB" w:rsidRPr="004C6D11">
        <w:rPr>
          <w:rFonts w:ascii="Times New Roman" w:hAnsi="Times New Roman" w:cs="Times New Roman"/>
        </w:rPr>
        <w:t xml:space="preserve"> según corresponda. </w:t>
      </w:r>
    </w:p>
    <w:p w:rsidR="006D3E02" w:rsidRPr="004C6D11" w:rsidRDefault="006D3E02" w:rsidP="004C6D11">
      <w:pPr>
        <w:spacing w:after="0" w:line="240" w:lineRule="auto"/>
        <w:jc w:val="both"/>
        <w:rPr>
          <w:rFonts w:ascii="Times New Roman" w:hAnsi="Times New Roman" w:cs="Times New Roman"/>
        </w:rPr>
      </w:pPr>
    </w:p>
    <w:p w:rsidR="00E039CB" w:rsidRPr="004C6D11" w:rsidRDefault="00E039CB" w:rsidP="004C6D11">
      <w:pPr>
        <w:spacing w:after="0" w:line="240" w:lineRule="auto"/>
        <w:jc w:val="both"/>
        <w:rPr>
          <w:rFonts w:ascii="Times New Roman" w:hAnsi="Times New Roman" w:cs="Times New Roman"/>
        </w:rPr>
      </w:pPr>
      <w:r w:rsidRPr="004C6D11">
        <w:rPr>
          <w:rFonts w:ascii="Times New Roman" w:hAnsi="Times New Roman" w:cs="Times New Roman"/>
        </w:rPr>
        <w:t>El beneficio con</w:t>
      </w:r>
      <w:r w:rsidR="000A0658" w:rsidRPr="004C6D11">
        <w:rPr>
          <w:rFonts w:ascii="Times New Roman" w:hAnsi="Times New Roman" w:cs="Times New Roman"/>
        </w:rPr>
        <w:t>siste en una suma fija anual que los contribuyentes</w:t>
      </w:r>
      <w:r w:rsidR="00CC6688" w:rsidRPr="004C6D11">
        <w:rPr>
          <w:rFonts w:ascii="Times New Roman" w:hAnsi="Times New Roman" w:cs="Times New Roman"/>
        </w:rPr>
        <w:t xml:space="preserve"> de dichos impuestos </w:t>
      </w:r>
      <w:r w:rsidR="000A0658" w:rsidRPr="004C6D11">
        <w:rPr>
          <w:rFonts w:ascii="Times New Roman" w:hAnsi="Times New Roman" w:cs="Times New Roman"/>
        </w:rPr>
        <w:t xml:space="preserve">pueden rebajar del monto </w:t>
      </w:r>
      <w:r w:rsidR="00CC6688" w:rsidRPr="004C6D11">
        <w:rPr>
          <w:rFonts w:ascii="Times New Roman" w:hAnsi="Times New Roman" w:cs="Times New Roman"/>
        </w:rPr>
        <w:t xml:space="preserve">que les </w:t>
      </w:r>
      <w:r w:rsidR="000A0658" w:rsidRPr="004C6D11">
        <w:rPr>
          <w:rFonts w:ascii="Times New Roman" w:hAnsi="Times New Roman" w:cs="Times New Roman"/>
        </w:rPr>
        <w:t xml:space="preserve">de dichos impuestos. El monto </w:t>
      </w:r>
      <w:r w:rsidR="00EF412C" w:rsidRPr="004C6D11">
        <w:rPr>
          <w:rFonts w:ascii="Times New Roman" w:hAnsi="Times New Roman" w:cs="Times New Roman"/>
        </w:rPr>
        <w:t xml:space="preserve">del crédito </w:t>
      </w:r>
      <w:r w:rsidR="000A0658" w:rsidRPr="004C6D11">
        <w:rPr>
          <w:rFonts w:ascii="Times New Roman" w:hAnsi="Times New Roman" w:cs="Times New Roman"/>
        </w:rPr>
        <w:t>total anual</w:t>
      </w:r>
      <w:r w:rsidR="00EF412C" w:rsidRPr="004C6D11">
        <w:rPr>
          <w:rFonts w:ascii="Times New Roman" w:hAnsi="Times New Roman" w:cs="Times New Roman"/>
        </w:rPr>
        <w:t xml:space="preserve"> asciende a 4,4 UF al año y procede respecto de cada hijo que cumpla con las condiciones que establece la ley.</w:t>
      </w:r>
    </w:p>
    <w:p w:rsidR="006D3E02" w:rsidRPr="004C6D11" w:rsidRDefault="006D3E02" w:rsidP="004C6D11">
      <w:pPr>
        <w:spacing w:after="0" w:line="240" w:lineRule="auto"/>
        <w:jc w:val="both"/>
        <w:rPr>
          <w:rFonts w:ascii="Times New Roman" w:hAnsi="Times New Roman" w:cs="Times New Roman"/>
        </w:rPr>
      </w:pPr>
    </w:p>
    <w:p w:rsidR="001B3791" w:rsidRPr="004C6D11" w:rsidRDefault="007957D0" w:rsidP="004C6D11">
      <w:pPr>
        <w:spacing w:after="0" w:line="240" w:lineRule="auto"/>
        <w:jc w:val="both"/>
        <w:rPr>
          <w:rFonts w:ascii="Times New Roman" w:hAnsi="Times New Roman" w:cs="Times New Roman"/>
        </w:rPr>
      </w:pPr>
      <w:r w:rsidRPr="004C6D11">
        <w:rPr>
          <w:rFonts w:ascii="Times New Roman" w:hAnsi="Times New Roman" w:cs="Times New Roman"/>
        </w:rPr>
        <w:t>Teniendo presente las diferentes circunstancias en que se pueden</w:t>
      </w:r>
      <w:r w:rsidR="0079591E" w:rsidRPr="004C6D11">
        <w:rPr>
          <w:rFonts w:ascii="Times New Roman" w:hAnsi="Times New Roman" w:cs="Times New Roman"/>
        </w:rPr>
        <w:t xml:space="preserve"> encontrar</w:t>
      </w:r>
      <w:r w:rsidRPr="004C6D11">
        <w:rPr>
          <w:rFonts w:ascii="Times New Roman" w:hAnsi="Times New Roman" w:cs="Times New Roman"/>
        </w:rPr>
        <w:t xml:space="preserve"> los padres, en relación con uno o más hijos en común</w:t>
      </w:r>
      <w:r w:rsidR="00EC1BB7" w:rsidRPr="004C6D11">
        <w:rPr>
          <w:rFonts w:ascii="Times New Roman" w:hAnsi="Times New Roman" w:cs="Times New Roman"/>
        </w:rPr>
        <w:t xml:space="preserve">, </w:t>
      </w:r>
      <w:r w:rsidR="00E039CB" w:rsidRPr="004C6D11">
        <w:rPr>
          <w:rFonts w:ascii="Times New Roman" w:hAnsi="Times New Roman" w:cs="Times New Roman"/>
        </w:rPr>
        <w:t>la Circular N° 06 de 201</w:t>
      </w:r>
      <w:r w:rsidR="00D5676D" w:rsidRPr="004C6D11">
        <w:rPr>
          <w:rFonts w:ascii="Times New Roman" w:hAnsi="Times New Roman" w:cs="Times New Roman"/>
        </w:rPr>
        <w:t>3</w:t>
      </w:r>
      <w:r w:rsidR="00E039CB" w:rsidRPr="004C6D11">
        <w:rPr>
          <w:rFonts w:ascii="Times New Roman" w:hAnsi="Times New Roman" w:cs="Times New Roman"/>
        </w:rPr>
        <w:t xml:space="preserve">, en base al texto legal, </w:t>
      </w:r>
      <w:r w:rsidR="001B3791" w:rsidRPr="004C6D11">
        <w:rPr>
          <w:rFonts w:ascii="Times New Roman" w:hAnsi="Times New Roman" w:cs="Times New Roman"/>
        </w:rPr>
        <w:t xml:space="preserve">ha instruido lo siguiente: </w:t>
      </w:r>
    </w:p>
    <w:p w:rsidR="001B3791" w:rsidRPr="004C6D11" w:rsidRDefault="00EC1BB7" w:rsidP="004C6D11">
      <w:pPr>
        <w:pStyle w:val="Prrafodelista"/>
        <w:numPr>
          <w:ilvl w:val="0"/>
          <w:numId w:val="1"/>
        </w:numPr>
        <w:spacing w:line="240" w:lineRule="auto"/>
        <w:jc w:val="both"/>
        <w:rPr>
          <w:rFonts w:ascii="Times New Roman" w:hAnsi="Times New Roman" w:cs="Times New Roman"/>
        </w:rPr>
      </w:pPr>
      <w:r w:rsidRPr="004C6D11">
        <w:rPr>
          <w:rFonts w:ascii="Times New Roman" w:hAnsi="Times New Roman" w:cs="Times New Roman"/>
        </w:rPr>
        <w:t>En caso que solo uno de los padres sea contribuy</w:t>
      </w:r>
      <w:r w:rsidR="001B3791" w:rsidRPr="004C6D11">
        <w:rPr>
          <w:rFonts w:ascii="Times New Roman" w:hAnsi="Times New Roman" w:cs="Times New Roman"/>
        </w:rPr>
        <w:t>ente de los impuestos señalados</w:t>
      </w:r>
      <w:r w:rsidRPr="004C6D11">
        <w:rPr>
          <w:rFonts w:ascii="Times New Roman" w:hAnsi="Times New Roman" w:cs="Times New Roman"/>
        </w:rPr>
        <w:t xml:space="preserve"> </w:t>
      </w:r>
      <w:r w:rsidR="001B3791" w:rsidRPr="004C6D11">
        <w:rPr>
          <w:rFonts w:ascii="Times New Roman" w:hAnsi="Times New Roman" w:cs="Times New Roman"/>
        </w:rPr>
        <w:t xml:space="preserve">(Impuesto Único de Segunda Categoría o Impuesto Global Complementario) </w:t>
      </w:r>
      <w:r w:rsidRPr="004C6D11">
        <w:rPr>
          <w:rFonts w:ascii="Times New Roman" w:hAnsi="Times New Roman" w:cs="Times New Roman"/>
        </w:rPr>
        <w:t xml:space="preserve">y cumpla con los requisitos exigidos, será </w:t>
      </w:r>
      <w:r w:rsidR="001B3791" w:rsidRPr="004C6D11">
        <w:rPr>
          <w:rFonts w:ascii="Times New Roman" w:hAnsi="Times New Roman" w:cs="Times New Roman"/>
        </w:rPr>
        <w:t>dicho contribuyente</w:t>
      </w:r>
      <w:r w:rsidRPr="004C6D11">
        <w:rPr>
          <w:rFonts w:ascii="Times New Roman" w:hAnsi="Times New Roman" w:cs="Times New Roman"/>
        </w:rPr>
        <w:t xml:space="preserve"> quien podrá imputa</w:t>
      </w:r>
      <w:r w:rsidR="001B3791" w:rsidRPr="004C6D11">
        <w:rPr>
          <w:rFonts w:ascii="Times New Roman" w:hAnsi="Times New Roman" w:cs="Times New Roman"/>
        </w:rPr>
        <w:t>r el crédito por su monto total.</w:t>
      </w:r>
    </w:p>
    <w:p w:rsidR="001B3791" w:rsidRPr="004C6D11" w:rsidRDefault="00A37733" w:rsidP="004C6D11">
      <w:pPr>
        <w:pStyle w:val="Prrafodelista"/>
        <w:numPr>
          <w:ilvl w:val="0"/>
          <w:numId w:val="1"/>
        </w:numPr>
        <w:spacing w:line="240" w:lineRule="auto"/>
        <w:jc w:val="both"/>
        <w:rPr>
          <w:rFonts w:ascii="Times New Roman" w:hAnsi="Times New Roman" w:cs="Times New Roman"/>
        </w:rPr>
      </w:pPr>
      <w:r w:rsidRPr="004C6D11">
        <w:rPr>
          <w:rFonts w:ascii="Times New Roman" w:hAnsi="Times New Roman" w:cs="Times New Roman"/>
        </w:rPr>
        <w:t>En caso que ambos padres sean contribuyentes de los impuestos señalados y cumplan con los requisitos requeridos, podrán, de común acuerdo</w:t>
      </w:r>
      <w:r w:rsidR="0079591E" w:rsidRPr="004C6D11">
        <w:rPr>
          <w:rFonts w:ascii="Times New Roman" w:hAnsi="Times New Roman" w:cs="Times New Roman"/>
        </w:rPr>
        <w:t>,</w:t>
      </w:r>
      <w:r w:rsidRPr="004C6D11">
        <w:rPr>
          <w:rFonts w:ascii="Times New Roman" w:hAnsi="Times New Roman" w:cs="Times New Roman"/>
        </w:rPr>
        <w:t xml:space="preserve"> optar por designar a uno de ellos como beneficiario del monto total del crédito y,</w:t>
      </w:r>
    </w:p>
    <w:p w:rsidR="00A37733" w:rsidRPr="004C6D11" w:rsidRDefault="008663DE" w:rsidP="004C6D11">
      <w:pPr>
        <w:pStyle w:val="Prrafodelista"/>
        <w:numPr>
          <w:ilvl w:val="0"/>
          <w:numId w:val="1"/>
        </w:numPr>
        <w:spacing w:line="240" w:lineRule="auto"/>
        <w:jc w:val="both"/>
        <w:rPr>
          <w:rFonts w:ascii="Times New Roman" w:hAnsi="Times New Roman" w:cs="Times New Roman"/>
        </w:rPr>
      </w:pPr>
      <w:r w:rsidRPr="004C6D11">
        <w:rPr>
          <w:rFonts w:ascii="Times New Roman" w:hAnsi="Times New Roman" w:cs="Times New Roman"/>
        </w:rPr>
        <w:t xml:space="preserve">Si no existe acuerdo entre los padres, cada uno de ellos podrá imputar el 50% del monto total del crédito. Esto significa que, tanto el padre como la madre, podrán imputar </w:t>
      </w:r>
      <w:r w:rsidR="00953D99" w:rsidRPr="004C6D11">
        <w:rPr>
          <w:rFonts w:ascii="Times New Roman" w:hAnsi="Times New Roman" w:cs="Times New Roman"/>
        </w:rPr>
        <w:t>el crédito por una suma equivalente a 2,2 UF por cada hijo no mayor de 25 años de edad.</w:t>
      </w:r>
    </w:p>
    <w:p w:rsidR="001B3791" w:rsidRPr="004C6D11" w:rsidRDefault="001B3791" w:rsidP="004C6D11">
      <w:pPr>
        <w:spacing w:line="240" w:lineRule="auto"/>
        <w:jc w:val="both"/>
        <w:rPr>
          <w:rFonts w:ascii="Times New Roman" w:hAnsi="Times New Roman" w:cs="Times New Roman"/>
        </w:rPr>
      </w:pPr>
      <w:r w:rsidRPr="004C6D11">
        <w:rPr>
          <w:rFonts w:ascii="Times New Roman" w:hAnsi="Times New Roman" w:cs="Times New Roman"/>
        </w:rPr>
        <w:t xml:space="preserve">Por otra parte, como señala la referida Circular, el beneficio se establece de manera directa, de suerte que el beneficiario no debe acreditar haber efectuado dichos desembolsos. </w:t>
      </w:r>
    </w:p>
    <w:p w:rsidR="000F1E1F" w:rsidRPr="004C6D11" w:rsidRDefault="001B3791" w:rsidP="004C6D11">
      <w:pPr>
        <w:spacing w:after="0" w:line="240" w:lineRule="auto"/>
        <w:jc w:val="both"/>
        <w:rPr>
          <w:rFonts w:ascii="Times New Roman" w:hAnsi="Times New Roman" w:cs="Times New Roman"/>
        </w:rPr>
      </w:pPr>
      <w:r w:rsidRPr="004C6D11">
        <w:rPr>
          <w:rFonts w:ascii="Times New Roman" w:hAnsi="Times New Roman" w:cs="Times New Roman"/>
        </w:rPr>
        <w:t>Como se aprecia, l</w:t>
      </w:r>
      <w:r w:rsidR="00FF1ECC" w:rsidRPr="004C6D11">
        <w:rPr>
          <w:rFonts w:ascii="Times New Roman" w:hAnsi="Times New Roman" w:cs="Times New Roman"/>
        </w:rPr>
        <w:t xml:space="preserve">a norma </w:t>
      </w:r>
      <w:r w:rsidR="00D02730" w:rsidRPr="004C6D11">
        <w:rPr>
          <w:rFonts w:ascii="Times New Roman" w:hAnsi="Times New Roman" w:cs="Times New Roman"/>
        </w:rPr>
        <w:t xml:space="preserve">trata de cubrir </w:t>
      </w:r>
      <w:r w:rsidR="00623B0A" w:rsidRPr="004C6D11">
        <w:rPr>
          <w:rFonts w:ascii="Times New Roman" w:hAnsi="Times New Roman" w:cs="Times New Roman"/>
        </w:rPr>
        <w:t xml:space="preserve">en forma equilibrada </w:t>
      </w:r>
      <w:r w:rsidR="00D02730" w:rsidRPr="004C6D11">
        <w:rPr>
          <w:rFonts w:ascii="Times New Roman" w:hAnsi="Times New Roman" w:cs="Times New Roman"/>
        </w:rPr>
        <w:t xml:space="preserve">los derechos de ambos progenitores, </w:t>
      </w:r>
      <w:r w:rsidR="007A2EAE" w:rsidRPr="004C6D11">
        <w:rPr>
          <w:rFonts w:ascii="Times New Roman" w:hAnsi="Times New Roman" w:cs="Times New Roman"/>
        </w:rPr>
        <w:t>s</w:t>
      </w:r>
      <w:r w:rsidRPr="004C6D11">
        <w:rPr>
          <w:rFonts w:ascii="Times New Roman" w:hAnsi="Times New Roman" w:cs="Times New Roman"/>
        </w:rPr>
        <w:t>in perjuicio</w:t>
      </w:r>
      <w:r w:rsidR="00B66E9D" w:rsidRPr="004C6D11">
        <w:rPr>
          <w:rFonts w:ascii="Times New Roman" w:hAnsi="Times New Roman" w:cs="Times New Roman"/>
        </w:rPr>
        <w:t xml:space="preserve"> que </w:t>
      </w:r>
      <w:r w:rsidR="007A2EAE" w:rsidRPr="004C6D11">
        <w:rPr>
          <w:rFonts w:ascii="Times New Roman" w:hAnsi="Times New Roman" w:cs="Times New Roman"/>
        </w:rPr>
        <w:t>puedan existir</w:t>
      </w:r>
      <w:r w:rsidR="00B66E9D" w:rsidRPr="004C6D11">
        <w:rPr>
          <w:rFonts w:ascii="Times New Roman" w:hAnsi="Times New Roman" w:cs="Times New Roman"/>
        </w:rPr>
        <w:t xml:space="preserve"> </w:t>
      </w:r>
      <w:r w:rsidRPr="004C6D11">
        <w:rPr>
          <w:rFonts w:ascii="Times New Roman" w:hAnsi="Times New Roman" w:cs="Times New Roman"/>
        </w:rPr>
        <w:t>si</w:t>
      </w:r>
      <w:r w:rsidR="000F1E1F" w:rsidRPr="004C6D11">
        <w:rPr>
          <w:rFonts w:ascii="Times New Roman" w:hAnsi="Times New Roman" w:cs="Times New Roman"/>
        </w:rPr>
        <w:t>tu</w:t>
      </w:r>
      <w:r w:rsidR="00283DCA" w:rsidRPr="004C6D11">
        <w:rPr>
          <w:rFonts w:ascii="Times New Roman" w:hAnsi="Times New Roman" w:cs="Times New Roman"/>
        </w:rPr>
        <w:t>aciones no prevista</w:t>
      </w:r>
      <w:r w:rsidR="001A1779" w:rsidRPr="004C6D11">
        <w:rPr>
          <w:rFonts w:ascii="Times New Roman" w:hAnsi="Times New Roman" w:cs="Times New Roman"/>
        </w:rPr>
        <w:t>s en la norma</w:t>
      </w:r>
      <w:r w:rsidRPr="004C6D11">
        <w:rPr>
          <w:rFonts w:ascii="Times New Roman" w:hAnsi="Times New Roman" w:cs="Times New Roman"/>
        </w:rPr>
        <w:t>,</w:t>
      </w:r>
      <w:r w:rsidR="001A1779" w:rsidRPr="004C6D11">
        <w:rPr>
          <w:rFonts w:ascii="Times New Roman" w:hAnsi="Times New Roman" w:cs="Times New Roman"/>
        </w:rPr>
        <w:t xml:space="preserve"> como la que usted señala</w:t>
      </w:r>
      <w:r w:rsidRPr="004C6D11">
        <w:rPr>
          <w:rFonts w:ascii="Times New Roman" w:hAnsi="Times New Roman" w:cs="Times New Roman"/>
        </w:rPr>
        <w:t>,</w:t>
      </w:r>
      <w:r w:rsidR="001A1779" w:rsidRPr="004C6D11">
        <w:rPr>
          <w:rFonts w:ascii="Times New Roman" w:hAnsi="Times New Roman" w:cs="Times New Roman"/>
        </w:rPr>
        <w:t xml:space="preserve"> </w:t>
      </w:r>
      <w:r w:rsidR="00126416" w:rsidRPr="004C6D11">
        <w:rPr>
          <w:rFonts w:ascii="Times New Roman" w:hAnsi="Times New Roman" w:cs="Times New Roman"/>
        </w:rPr>
        <w:t>y cuya resolución escapa</w:t>
      </w:r>
      <w:r w:rsidR="001A1779" w:rsidRPr="004C6D11">
        <w:rPr>
          <w:rFonts w:ascii="Times New Roman" w:hAnsi="Times New Roman" w:cs="Times New Roman"/>
        </w:rPr>
        <w:t xml:space="preserve"> del ámbito tributario.</w:t>
      </w:r>
    </w:p>
    <w:p w:rsidR="006D3E02" w:rsidRPr="004C6D11" w:rsidRDefault="006D3E02" w:rsidP="004C6D11">
      <w:pPr>
        <w:spacing w:after="0" w:line="240" w:lineRule="auto"/>
        <w:jc w:val="both"/>
        <w:rPr>
          <w:rFonts w:ascii="Times New Roman" w:hAnsi="Times New Roman" w:cs="Times New Roman"/>
        </w:rPr>
      </w:pPr>
    </w:p>
    <w:p w:rsidR="00A02A04" w:rsidRPr="004C6D11" w:rsidRDefault="00A02A04" w:rsidP="004C6D11">
      <w:pPr>
        <w:spacing w:after="0" w:line="240" w:lineRule="auto"/>
        <w:jc w:val="both"/>
        <w:rPr>
          <w:rFonts w:ascii="Times New Roman" w:hAnsi="Times New Roman" w:cs="Times New Roman"/>
        </w:rPr>
      </w:pPr>
      <w:r w:rsidRPr="004C6D11">
        <w:rPr>
          <w:rFonts w:ascii="Times New Roman" w:hAnsi="Times New Roman" w:cs="Times New Roman"/>
        </w:rPr>
        <w:t xml:space="preserve">Dicho lo anterior y en lo que respecta a la consulta formulada, cabe señalar que de acuerdo a las instrucciones impartidas por este Servicio en la Circular N° 6 de 2013, en base al texto de la ley, deben </w:t>
      </w:r>
      <w:r w:rsidR="006F701C" w:rsidRPr="004C6D11">
        <w:rPr>
          <w:rFonts w:ascii="Times New Roman" w:hAnsi="Times New Roman" w:cs="Times New Roman"/>
        </w:rPr>
        <w:t>sumar</w:t>
      </w:r>
      <w:r w:rsidRPr="004C6D11">
        <w:rPr>
          <w:rFonts w:ascii="Times New Roman" w:hAnsi="Times New Roman" w:cs="Times New Roman"/>
        </w:rPr>
        <w:t>se</w:t>
      </w:r>
      <w:r w:rsidR="006F701C" w:rsidRPr="004C6D11">
        <w:rPr>
          <w:rFonts w:ascii="Times New Roman" w:hAnsi="Times New Roman" w:cs="Times New Roman"/>
        </w:rPr>
        <w:t xml:space="preserve"> los montos anuales de las rentas totales del padre y de la madre, expresadas en UF, suma que no podrá exceder de 792, para que las personas beneficiadas puedan acceder al crédito en comento. </w:t>
      </w:r>
    </w:p>
    <w:p w:rsidR="006D3E02" w:rsidRPr="004C6D11" w:rsidRDefault="006D3E02" w:rsidP="004C6D11">
      <w:pPr>
        <w:spacing w:after="0" w:line="240" w:lineRule="auto"/>
        <w:jc w:val="both"/>
        <w:rPr>
          <w:rFonts w:ascii="Times New Roman" w:hAnsi="Times New Roman" w:cs="Times New Roman"/>
        </w:rPr>
      </w:pPr>
    </w:p>
    <w:p w:rsidR="006F701C" w:rsidRPr="004C6D11" w:rsidRDefault="00A02A04" w:rsidP="004C6D11">
      <w:pPr>
        <w:spacing w:after="0" w:line="240" w:lineRule="auto"/>
        <w:jc w:val="both"/>
        <w:rPr>
          <w:rFonts w:ascii="Times New Roman" w:hAnsi="Times New Roman" w:cs="Times New Roman"/>
        </w:rPr>
      </w:pPr>
      <w:r w:rsidRPr="004C6D11">
        <w:rPr>
          <w:rFonts w:ascii="Times New Roman" w:hAnsi="Times New Roman" w:cs="Times New Roman"/>
        </w:rPr>
        <w:lastRenderedPageBreak/>
        <w:t xml:space="preserve">Luego, </w:t>
      </w:r>
      <w:r w:rsidR="006F701C" w:rsidRPr="004C6D11">
        <w:rPr>
          <w:rFonts w:ascii="Times New Roman" w:hAnsi="Times New Roman" w:cs="Times New Roman"/>
        </w:rPr>
        <w:t>si la suma anual de las rentas totales del padre y de la madre, exceden de la cantidad equivalente a 792 UF, ninguno de ellos tendrá derecho al citado crédito, ni siquiera en forma proporcional o en una parte de éste.</w:t>
      </w:r>
    </w:p>
    <w:p w:rsidR="006D3E02" w:rsidRPr="004C6D11" w:rsidRDefault="00A02A04" w:rsidP="004C6D11">
      <w:pPr>
        <w:spacing w:after="0" w:line="240" w:lineRule="auto"/>
        <w:jc w:val="both"/>
        <w:rPr>
          <w:rFonts w:ascii="Times New Roman" w:hAnsi="Times New Roman" w:cs="Times New Roman"/>
        </w:rPr>
      </w:pPr>
      <w:r w:rsidRPr="004C6D11">
        <w:rPr>
          <w:rFonts w:ascii="Times New Roman" w:hAnsi="Times New Roman" w:cs="Times New Roman"/>
        </w:rPr>
        <w:t xml:space="preserve">Por no existir una disposición legal específica que lo autorice, este Servicio no puede modificar administrativamente la forma en que se calcula el tope de UF 792, como se plantea en su consulta, de </w:t>
      </w:r>
      <w:r w:rsidR="00EF598E" w:rsidRPr="004C6D11">
        <w:rPr>
          <w:rFonts w:ascii="Times New Roman" w:hAnsi="Times New Roman" w:cs="Times New Roman"/>
        </w:rPr>
        <w:t xml:space="preserve">suerte que no se </w:t>
      </w:r>
      <w:r w:rsidRPr="004C6D11">
        <w:rPr>
          <w:rFonts w:ascii="Times New Roman" w:hAnsi="Times New Roman" w:cs="Times New Roman"/>
        </w:rPr>
        <w:t>considera para el cálculo de</w:t>
      </w:r>
      <w:r w:rsidR="00EF598E" w:rsidRPr="004C6D11">
        <w:rPr>
          <w:rFonts w:ascii="Times New Roman" w:hAnsi="Times New Roman" w:cs="Times New Roman"/>
        </w:rPr>
        <w:t>l</w:t>
      </w:r>
      <w:r w:rsidRPr="004C6D11">
        <w:rPr>
          <w:rFonts w:ascii="Times New Roman" w:hAnsi="Times New Roman" w:cs="Times New Roman"/>
        </w:rPr>
        <w:t xml:space="preserve"> tope todo o parte de las remuneraciones del padre sino sólo la pensión alimenticia asignada</w:t>
      </w:r>
      <w:r w:rsidR="00EF598E" w:rsidRPr="004C6D11">
        <w:rPr>
          <w:rFonts w:ascii="Times New Roman" w:hAnsi="Times New Roman" w:cs="Times New Roman"/>
        </w:rPr>
        <w:t>.</w:t>
      </w:r>
    </w:p>
    <w:p w:rsidR="006D3E02" w:rsidRPr="004C6D11" w:rsidRDefault="006D3E02" w:rsidP="004C6D11">
      <w:pPr>
        <w:spacing w:after="0" w:line="240" w:lineRule="auto"/>
        <w:jc w:val="both"/>
        <w:rPr>
          <w:rFonts w:ascii="Times New Roman" w:hAnsi="Times New Roman" w:cs="Times New Roman"/>
        </w:rPr>
      </w:pPr>
    </w:p>
    <w:p w:rsidR="00EF598E" w:rsidRDefault="00EF598E" w:rsidP="004C6D11">
      <w:pPr>
        <w:spacing w:after="0" w:line="240" w:lineRule="auto"/>
        <w:jc w:val="both"/>
        <w:rPr>
          <w:rFonts w:ascii="Times New Roman" w:hAnsi="Times New Roman" w:cs="Times New Roman"/>
          <w:b/>
        </w:rPr>
      </w:pPr>
      <w:r w:rsidRPr="004C6D11">
        <w:rPr>
          <w:rFonts w:ascii="Times New Roman" w:hAnsi="Times New Roman" w:cs="Times New Roman"/>
          <w:b/>
        </w:rPr>
        <w:t>III</w:t>
      </w:r>
      <w:r w:rsidRPr="004C6D11">
        <w:rPr>
          <w:rFonts w:ascii="Times New Roman" w:hAnsi="Times New Roman" w:cs="Times New Roman"/>
          <w:b/>
        </w:rPr>
        <w:tab/>
        <w:t>CONCLUSIÓN</w:t>
      </w:r>
    </w:p>
    <w:p w:rsidR="00E96ABC" w:rsidRPr="004C6D11" w:rsidRDefault="00E96ABC" w:rsidP="004C6D11">
      <w:pPr>
        <w:spacing w:after="0" w:line="240" w:lineRule="auto"/>
        <w:jc w:val="both"/>
        <w:rPr>
          <w:rFonts w:ascii="Times New Roman" w:hAnsi="Times New Roman" w:cs="Times New Roman"/>
          <w:b/>
        </w:rPr>
      </w:pPr>
    </w:p>
    <w:p w:rsidR="00EF598E" w:rsidRPr="004C6D11" w:rsidRDefault="00EF598E" w:rsidP="004C6D11">
      <w:pPr>
        <w:spacing w:after="0" w:line="240" w:lineRule="auto"/>
        <w:jc w:val="both"/>
        <w:rPr>
          <w:rFonts w:ascii="Times New Roman" w:hAnsi="Times New Roman" w:cs="Times New Roman"/>
        </w:rPr>
      </w:pPr>
      <w:r w:rsidRPr="004C6D11">
        <w:rPr>
          <w:rFonts w:ascii="Times New Roman" w:hAnsi="Times New Roman" w:cs="Times New Roman"/>
        </w:rPr>
        <w:t xml:space="preserve">Por mandato expreso de la ley, deben sumarse los montos anuales de las rentas totales del padre y de la madre, expresadas en UF, suma que no podrá exceder de 792. </w:t>
      </w:r>
    </w:p>
    <w:p w:rsidR="00EF598E" w:rsidRPr="004C6D11" w:rsidRDefault="00EF598E" w:rsidP="004C6D11">
      <w:pPr>
        <w:spacing w:after="0" w:line="240" w:lineRule="auto"/>
        <w:jc w:val="both"/>
        <w:rPr>
          <w:rFonts w:ascii="Times New Roman" w:hAnsi="Times New Roman" w:cs="Times New Roman"/>
        </w:rPr>
      </w:pPr>
      <w:r w:rsidRPr="004C6D11">
        <w:rPr>
          <w:rFonts w:ascii="Times New Roman" w:hAnsi="Times New Roman" w:cs="Times New Roman"/>
        </w:rPr>
        <w:t>Si la suma anual de las rentas totales del padre y de la madre, exceden de la cantidad equivalente a 792 UF, ninguno de ellos tendrá derecho al citado crédito.</w:t>
      </w:r>
    </w:p>
    <w:p w:rsidR="006D3E02" w:rsidRPr="004C6D11" w:rsidRDefault="006D3E02" w:rsidP="004C6D11">
      <w:pPr>
        <w:spacing w:after="0" w:line="240" w:lineRule="auto"/>
        <w:jc w:val="both"/>
        <w:rPr>
          <w:rFonts w:ascii="Times New Roman" w:hAnsi="Times New Roman" w:cs="Times New Roman"/>
        </w:rPr>
      </w:pPr>
    </w:p>
    <w:p w:rsidR="00EF598E" w:rsidRPr="004C6D11" w:rsidRDefault="00EF598E" w:rsidP="004C6D11">
      <w:pPr>
        <w:spacing w:line="240" w:lineRule="auto"/>
        <w:jc w:val="both"/>
        <w:rPr>
          <w:rFonts w:ascii="Times New Roman" w:hAnsi="Times New Roman" w:cs="Times New Roman"/>
        </w:rPr>
      </w:pPr>
      <w:r w:rsidRPr="004C6D11">
        <w:rPr>
          <w:rFonts w:ascii="Times New Roman" w:hAnsi="Times New Roman" w:cs="Times New Roman"/>
        </w:rPr>
        <w:t>Este Servicio no tiene competencia para modificar administrativamente la forma en que se calcula el tope de UF 792, de suerte que en lugar de sumar las rentas totales del padre y la madre sólo se considere el monto de la pensión alimenticia asignada.</w:t>
      </w:r>
    </w:p>
    <w:p w:rsidR="006D3E02" w:rsidRPr="004C6D11" w:rsidRDefault="006D3E02" w:rsidP="004C6D11">
      <w:pPr>
        <w:pStyle w:val="Prrafodelista"/>
        <w:spacing w:after="0" w:line="240" w:lineRule="auto"/>
        <w:ind w:left="5387"/>
        <w:rPr>
          <w:rFonts w:ascii="Times New Roman" w:hAnsi="Times New Roman" w:cs="Times New Roman"/>
          <w:b/>
        </w:rPr>
      </w:pPr>
    </w:p>
    <w:p w:rsidR="006D3E02" w:rsidRPr="004C6D11" w:rsidRDefault="006D3E02" w:rsidP="004C6D11">
      <w:pPr>
        <w:pStyle w:val="Prrafodelista"/>
        <w:spacing w:after="0" w:line="240" w:lineRule="auto"/>
        <w:ind w:left="5387"/>
        <w:rPr>
          <w:rFonts w:ascii="Times New Roman" w:hAnsi="Times New Roman" w:cs="Times New Roman"/>
          <w:b/>
        </w:rPr>
      </w:pPr>
    </w:p>
    <w:p w:rsidR="006D3E02" w:rsidRPr="004C6D11" w:rsidRDefault="006D3E02" w:rsidP="004C6D11">
      <w:pPr>
        <w:pStyle w:val="Prrafodelista"/>
        <w:spacing w:after="0" w:line="240" w:lineRule="auto"/>
        <w:ind w:left="5387"/>
        <w:rPr>
          <w:rFonts w:ascii="Times New Roman" w:hAnsi="Times New Roman" w:cs="Times New Roman"/>
          <w:b/>
        </w:rPr>
      </w:pPr>
    </w:p>
    <w:p w:rsidR="006D3E02" w:rsidRPr="004C6D11" w:rsidRDefault="006D3E02" w:rsidP="004C6D11">
      <w:pPr>
        <w:pStyle w:val="Prrafodelista"/>
        <w:spacing w:after="0" w:line="240" w:lineRule="auto"/>
        <w:ind w:left="5387"/>
        <w:rPr>
          <w:rFonts w:ascii="Times New Roman" w:hAnsi="Times New Roman" w:cs="Times New Roman"/>
          <w:b/>
        </w:rPr>
      </w:pPr>
    </w:p>
    <w:p w:rsidR="006D3E02" w:rsidRPr="004C6D11" w:rsidRDefault="006D3E02" w:rsidP="004C6D11">
      <w:pPr>
        <w:pStyle w:val="Prrafodelista"/>
        <w:spacing w:after="0" w:line="240" w:lineRule="auto"/>
        <w:ind w:left="5387"/>
        <w:rPr>
          <w:rFonts w:ascii="Times New Roman" w:hAnsi="Times New Roman" w:cs="Times New Roman"/>
          <w:b/>
        </w:rPr>
      </w:pPr>
    </w:p>
    <w:p w:rsidR="006D3E02" w:rsidRPr="004C6D11" w:rsidRDefault="006D3E02" w:rsidP="004C6D11">
      <w:pPr>
        <w:pStyle w:val="Prrafodelista"/>
        <w:spacing w:after="0" w:line="240" w:lineRule="auto"/>
        <w:ind w:left="5387"/>
        <w:rPr>
          <w:rFonts w:ascii="Times New Roman" w:hAnsi="Times New Roman" w:cs="Times New Roman"/>
          <w:b/>
        </w:rPr>
      </w:pPr>
    </w:p>
    <w:p w:rsidR="006D3E02" w:rsidRPr="004C6D11" w:rsidRDefault="006D3E02" w:rsidP="004C6D11">
      <w:pPr>
        <w:pStyle w:val="Prrafodelista"/>
        <w:spacing w:after="0" w:line="240" w:lineRule="auto"/>
        <w:ind w:left="5387"/>
        <w:rPr>
          <w:rFonts w:ascii="Times New Roman" w:hAnsi="Times New Roman" w:cs="Times New Roman"/>
          <w:b/>
        </w:rPr>
      </w:pPr>
    </w:p>
    <w:p w:rsidR="006D3E02" w:rsidRPr="004C6D11" w:rsidRDefault="006D3E02" w:rsidP="004C6D11">
      <w:pPr>
        <w:pStyle w:val="Prrafodelista"/>
        <w:spacing w:after="0" w:line="240" w:lineRule="auto"/>
        <w:ind w:left="5387"/>
        <w:rPr>
          <w:rFonts w:ascii="Times New Roman" w:hAnsi="Times New Roman" w:cs="Times New Roman"/>
          <w:b/>
        </w:rPr>
      </w:pPr>
    </w:p>
    <w:p w:rsidR="006D3E02" w:rsidRPr="004C6D11" w:rsidRDefault="006D3E02" w:rsidP="004C6D11">
      <w:pPr>
        <w:pStyle w:val="Prrafodelista"/>
        <w:spacing w:after="0" w:line="240" w:lineRule="auto"/>
        <w:ind w:left="5387"/>
        <w:rPr>
          <w:rFonts w:ascii="Times New Roman" w:hAnsi="Times New Roman" w:cs="Times New Roman"/>
          <w:b/>
        </w:rPr>
      </w:pPr>
    </w:p>
    <w:p w:rsidR="001A1779" w:rsidRPr="004C6D11" w:rsidRDefault="00095765" w:rsidP="004C6D11">
      <w:pPr>
        <w:spacing w:after="0" w:line="240" w:lineRule="auto"/>
        <w:ind w:left="4536"/>
        <w:rPr>
          <w:rFonts w:ascii="Times New Roman" w:hAnsi="Times New Roman" w:cs="Times New Roman"/>
          <w:b/>
        </w:rPr>
      </w:pPr>
      <w:r w:rsidRPr="004C6D11">
        <w:rPr>
          <w:rFonts w:ascii="Times New Roman" w:hAnsi="Times New Roman" w:cs="Times New Roman"/>
          <w:b/>
        </w:rPr>
        <w:t>JUAN ALBERTO ROJAS BARRANTI</w:t>
      </w:r>
    </w:p>
    <w:p w:rsidR="001A1779" w:rsidRPr="004C6D11" w:rsidRDefault="00095765" w:rsidP="004C6D11">
      <w:pPr>
        <w:pStyle w:val="Prrafodelista"/>
        <w:spacing w:after="0" w:line="240" w:lineRule="auto"/>
        <w:ind w:left="5387"/>
        <w:rPr>
          <w:rFonts w:ascii="Times New Roman" w:hAnsi="Times New Roman" w:cs="Times New Roman"/>
          <w:b/>
        </w:rPr>
      </w:pPr>
      <w:r w:rsidRPr="004C6D11">
        <w:rPr>
          <w:rFonts w:ascii="Times New Roman" w:hAnsi="Times New Roman" w:cs="Times New Roman"/>
          <w:b/>
        </w:rPr>
        <w:t xml:space="preserve"> </w:t>
      </w:r>
      <w:r w:rsidR="00EF598E" w:rsidRPr="004C6D11">
        <w:rPr>
          <w:rFonts w:ascii="Times New Roman" w:hAnsi="Times New Roman" w:cs="Times New Roman"/>
          <w:b/>
        </w:rPr>
        <w:t xml:space="preserve"> </w:t>
      </w:r>
      <w:r w:rsidR="005E5305" w:rsidRPr="004C6D11">
        <w:rPr>
          <w:rFonts w:ascii="Times New Roman" w:hAnsi="Times New Roman" w:cs="Times New Roman"/>
          <w:b/>
        </w:rPr>
        <w:t>D</w:t>
      </w:r>
      <w:r w:rsidRPr="004C6D11">
        <w:rPr>
          <w:rFonts w:ascii="Times New Roman" w:hAnsi="Times New Roman" w:cs="Times New Roman"/>
          <w:b/>
        </w:rPr>
        <w:t>IRECTOR (S)</w:t>
      </w:r>
    </w:p>
    <w:p w:rsidR="001A1779" w:rsidRPr="004C6D11" w:rsidRDefault="001A1779"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Default="00180581" w:rsidP="00180581">
      <w:pPr>
        <w:pStyle w:val="Prrafodelista"/>
        <w:spacing w:after="0" w:line="240" w:lineRule="auto"/>
        <w:ind w:left="0"/>
        <w:jc w:val="center"/>
        <w:rPr>
          <w:rFonts w:ascii="Times New Roman" w:hAnsi="Times New Roman" w:cs="Times New Roman"/>
        </w:rPr>
      </w:pPr>
      <w:r>
        <w:rPr>
          <w:rFonts w:ascii="Times New Roman" w:hAnsi="Times New Roman" w:cs="Times New Roman"/>
        </w:rPr>
        <w:t>Oficio N° 573, de 24.02.2015</w:t>
      </w:r>
    </w:p>
    <w:p w:rsidR="00180581" w:rsidRDefault="00180581" w:rsidP="00180581">
      <w:pPr>
        <w:pStyle w:val="Prrafodelista"/>
        <w:spacing w:after="0" w:line="240" w:lineRule="auto"/>
        <w:ind w:left="0"/>
        <w:jc w:val="center"/>
        <w:rPr>
          <w:rFonts w:ascii="Times New Roman" w:hAnsi="Times New Roman" w:cs="Times New Roman"/>
          <w:b/>
        </w:rPr>
      </w:pPr>
      <w:r>
        <w:rPr>
          <w:rFonts w:ascii="Times New Roman" w:hAnsi="Times New Roman" w:cs="Times New Roman"/>
          <w:b/>
        </w:rPr>
        <w:t>Subdirección Normativa</w:t>
      </w:r>
    </w:p>
    <w:p w:rsidR="00180581" w:rsidRPr="00180581" w:rsidRDefault="00180581" w:rsidP="00180581">
      <w:pPr>
        <w:pStyle w:val="Prrafodelista"/>
        <w:spacing w:after="0" w:line="240" w:lineRule="auto"/>
        <w:ind w:left="0"/>
        <w:jc w:val="center"/>
        <w:rPr>
          <w:rFonts w:ascii="Times New Roman" w:hAnsi="Times New Roman" w:cs="Times New Roman"/>
        </w:rPr>
      </w:pPr>
      <w:r>
        <w:rPr>
          <w:rFonts w:ascii="Times New Roman" w:hAnsi="Times New Roman" w:cs="Times New Roman"/>
        </w:rPr>
        <w:t>Dpto. de Técnica Tributaria</w:t>
      </w: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p w:rsidR="006D3E02" w:rsidRPr="004C6D11" w:rsidRDefault="006D3E02" w:rsidP="004C6D11">
      <w:pPr>
        <w:pStyle w:val="Prrafodelista"/>
        <w:spacing w:after="0" w:line="240" w:lineRule="auto"/>
        <w:ind w:left="0"/>
        <w:jc w:val="both"/>
        <w:rPr>
          <w:rFonts w:ascii="Times New Roman" w:hAnsi="Times New Roman" w:cs="Times New Roman"/>
          <w:b/>
        </w:rPr>
      </w:pPr>
    </w:p>
    <w:sectPr w:rsidR="006D3E02" w:rsidRPr="004C6D11" w:rsidSect="006D3E02">
      <w:headerReference w:type="default" r:id="rId7"/>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2D" w:rsidRDefault="0046152D" w:rsidP="00A00C92">
      <w:pPr>
        <w:spacing w:after="0" w:line="240" w:lineRule="auto"/>
      </w:pPr>
      <w:r>
        <w:separator/>
      </w:r>
    </w:p>
  </w:endnote>
  <w:endnote w:type="continuationSeparator" w:id="0">
    <w:p w:rsidR="0046152D" w:rsidRDefault="0046152D" w:rsidP="00A0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2D" w:rsidRDefault="0046152D" w:rsidP="00A00C92">
      <w:pPr>
        <w:spacing w:after="0" w:line="240" w:lineRule="auto"/>
      </w:pPr>
      <w:r>
        <w:separator/>
      </w:r>
    </w:p>
  </w:footnote>
  <w:footnote w:type="continuationSeparator" w:id="0">
    <w:p w:rsidR="0046152D" w:rsidRDefault="0046152D" w:rsidP="00A0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38790680"/>
      <w:docPartObj>
        <w:docPartGallery w:val="Page Numbers (Top of Page)"/>
        <w:docPartUnique/>
      </w:docPartObj>
    </w:sdtPr>
    <w:sdtEndPr/>
    <w:sdtContent>
      <w:p w:rsidR="00A00C92" w:rsidRPr="00EB3563" w:rsidRDefault="00A00C92">
        <w:pPr>
          <w:pStyle w:val="Encabezado"/>
          <w:jc w:val="center"/>
          <w:rPr>
            <w:rFonts w:ascii="Arial" w:hAnsi="Arial" w:cs="Arial"/>
            <w:sz w:val="16"/>
            <w:szCs w:val="16"/>
          </w:rPr>
        </w:pPr>
        <w:r w:rsidRPr="00EB3563">
          <w:rPr>
            <w:rFonts w:ascii="Arial" w:hAnsi="Arial" w:cs="Arial"/>
            <w:sz w:val="16"/>
            <w:szCs w:val="16"/>
          </w:rPr>
          <w:fldChar w:fldCharType="begin"/>
        </w:r>
        <w:r w:rsidRPr="00EB3563">
          <w:rPr>
            <w:rFonts w:ascii="Arial" w:hAnsi="Arial" w:cs="Arial"/>
            <w:sz w:val="16"/>
            <w:szCs w:val="16"/>
          </w:rPr>
          <w:instrText>PAGE   \* MERGEFORMAT</w:instrText>
        </w:r>
        <w:r w:rsidRPr="00EB3563">
          <w:rPr>
            <w:rFonts w:ascii="Arial" w:hAnsi="Arial" w:cs="Arial"/>
            <w:sz w:val="16"/>
            <w:szCs w:val="16"/>
          </w:rPr>
          <w:fldChar w:fldCharType="separate"/>
        </w:r>
        <w:r w:rsidR="00872A52" w:rsidRPr="00872A52">
          <w:rPr>
            <w:rFonts w:ascii="Arial" w:hAnsi="Arial" w:cs="Arial"/>
            <w:noProof/>
            <w:sz w:val="16"/>
            <w:szCs w:val="16"/>
            <w:lang w:val="es-ES"/>
          </w:rPr>
          <w:t>2</w:t>
        </w:r>
        <w:r w:rsidRPr="00EB3563">
          <w:rPr>
            <w:rFonts w:ascii="Arial" w:hAnsi="Arial" w:cs="Arial"/>
            <w:sz w:val="16"/>
            <w:szCs w:val="16"/>
          </w:rPr>
          <w:fldChar w:fldCharType="end"/>
        </w:r>
      </w:p>
    </w:sdtContent>
  </w:sdt>
  <w:p w:rsidR="00A00C92" w:rsidRPr="00EB3563" w:rsidRDefault="00A00C92">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03AE"/>
    <w:multiLevelType w:val="hybridMultilevel"/>
    <w:tmpl w:val="AA16BB18"/>
    <w:lvl w:ilvl="0" w:tplc="70EEBFB2">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CB27206"/>
    <w:multiLevelType w:val="hybridMultilevel"/>
    <w:tmpl w:val="E76CDE64"/>
    <w:lvl w:ilvl="0" w:tplc="8536E2FE">
      <w:start w:val="2"/>
      <w:numFmt w:val="bullet"/>
      <w:lvlText w:val="-"/>
      <w:lvlJc w:val="left"/>
      <w:pPr>
        <w:ind w:left="644" w:hanging="360"/>
      </w:pPr>
      <w:rPr>
        <w:rFonts w:ascii="Arial" w:eastAsiaTheme="minorHAnsi" w:hAnsi="Arial"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
    <w:nsid w:val="6893160C"/>
    <w:multiLevelType w:val="hybridMultilevel"/>
    <w:tmpl w:val="93746B54"/>
    <w:lvl w:ilvl="0" w:tplc="72B40502">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B5"/>
    <w:rsid w:val="0002420F"/>
    <w:rsid w:val="000342AB"/>
    <w:rsid w:val="00041A08"/>
    <w:rsid w:val="00075AA4"/>
    <w:rsid w:val="00095765"/>
    <w:rsid w:val="000A0658"/>
    <w:rsid w:val="000F1337"/>
    <w:rsid w:val="000F1E1F"/>
    <w:rsid w:val="000F201A"/>
    <w:rsid w:val="00117AC8"/>
    <w:rsid w:val="00126416"/>
    <w:rsid w:val="00180581"/>
    <w:rsid w:val="00192281"/>
    <w:rsid w:val="00195747"/>
    <w:rsid w:val="001A1779"/>
    <w:rsid w:val="001B0FFA"/>
    <w:rsid w:val="001B3791"/>
    <w:rsid w:val="001E5D96"/>
    <w:rsid w:val="001F5BA3"/>
    <w:rsid w:val="00210FC5"/>
    <w:rsid w:val="00283DCA"/>
    <w:rsid w:val="002A7247"/>
    <w:rsid w:val="003020B6"/>
    <w:rsid w:val="003269C5"/>
    <w:rsid w:val="00331BE5"/>
    <w:rsid w:val="003C05B0"/>
    <w:rsid w:val="004044AF"/>
    <w:rsid w:val="004127A4"/>
    <w:rsid w:val="0042114B"/>
    <w:rsid w:val="00442B22"/>
    <w:rsid w:val="004605B2"/>
    <w:rsid w:val="0046152D"/>
    <w:rsid w:val="00496B36"/>
    <w:rsid w:val="004C2047"/>
    <w:rsid w:val="004C6D11"/>
    <w:rsid w:val="004E67DA"/>
    <w:rsid w:val="004E79A4"/>
    <w:rsid w:val="005205FB"/>
    <w:rsid w:val="005A08AE"/>
    <w:rsid w:val="005A712E"/>
    <w:rsid w:val="005E38B1"/>
    <w:rsid w:val="005E5305"/>
    <w:rsid w:val="005F7FB5"/>
    <w:rsid w:val="00623B0A"/>
    <w:rsid w:val="00647E2C"/>
    <w:rsid w:val="006503AF"/>
    <w:rsid w:val="00677BB1"/>
    <w:rsid w:val="006A0C3C"/>
    <w:rsid w:val="006C6CE2"/>
    <w:rsid w:val="006D3E02"/>
    <w:rsid w:val="006F701C"/>
    <w:rsid w:val="0070160F"/>
    <w:rsid w:val="00711586"/>
    <w:rsid w:val="0076591C"/>
    <w:rsid w:val="007957D0"/>
    <w:rsid w:val="0079591E"/>
    <w:rsid w:val="00797C74"/>
    <w:rsid w:val="007A2EAE"/>
    <w:rsid w:val="007A33DA"/>
    <w:rsid w:val="007D72FF"/>
    <w:rsid w:val="00845D54"/>
    <w:rsid w:val="008663DE"/>
    <w:rsid w:val="00866E92"/>
    <w:rsid w:val="00872A52"/>
    <w:rsid w:val="00873A2E"/>
    <w:rsid w:val="00911D86"/>
    <w:rsid w:val="00941A62"/>
    <w:rsid w:val="00945A66"/>
    <w:rsid w:val="00953797"/>
    <w:rsid w:val="00953D99"/>
    <w:rsid w:val="00957BFA"/>
    <w:rsid w:val="009C60E4"/>
    <w:rsid w:val="009C75D0"/>
    <w:rsid w:val="00A00C92"/>
    <w:rsid w:val="00A02A04"/>
    <w:rsid w:val="00A0306E"/>
    <w:rsid w:val="00A37733"/>
    <w:rsid w:val="00A41E01"/>
    <w:rsid w:val="00A540F3"/>
    <w:rsid w:val="00A72A8A"/>
    <w:rsid w:val="00AA44B0"/>
    <w:rsid w:val="00AA741B"/>
    <w:rsid w:val="00B26ED8"/>
    <w:rsid w:val="00B61CCA"/>
    <w:rsid w:val="00B66E9D"/>
    <w:rsid w:val="00B74108"/>
    <w:rsid w:val="00B755A8"/>
    <w:rsid w:val="00BE3AD9"/>
    <w:rsid w:val="00CC6688"/>
    <w:rsid w:val="00CC704F"/>
    <w:rsid w:val="00CF314E"/>
    <w:rsid w:val="00D02730"/>
    <w:rsid w:val="00D5676D"/>
    <w:rsid w:val="00DB0F85"/>
    <w:rsid w:val="00DC4688"/>
    <w:rsid w:val="00DD5ED2"/>
    <w:rsid w:val="00DF23B5"/>
    <w:rsid w:val="00DF487D"/>
    <w:rsid w:val="00E039CB"/>
    <w:rsid w:val="00E96ABC"/>
    <w:rsid w:val="00EB3563"/>
    <w:rsid w:val="00EC1BB7"/>
    <w:rsid w:val="00EF412C"/>
    <w:rsid w:val="00EF598E"/>
    <w:rsid w:val="00F00633"/>
    <w:rsid w:val="00F61D2D"/>
    <w:rsid w:val="00FF1E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C5E94-3D33-420D-8DFB-9C65A858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4AF"/>
    <w:pPr>
      <w:ind w:left="720"/>
      <w:contextualSpacing/>
    </w:pPr>
  </w:style>
  <w:style w:type="paragraph" w:styleId="Textodeglobo">
    <w:name w:val="Balloon Text"/>
    <w:basedOn w:val="Normal"/>
    <w:link w:val="TextodegloboCar"/>
    <w:uiPriority w:val="99"/>
    <w:semiHidden/>
    <w:unhideWhenUsed/>
    <w:rsid w:val="005205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5FB"/>
    <w:rPr>
      <w:rFonts w:ascii="Segoe UI" w:hAnsi="Segoe UI" w:cs="Segoe UI"/>
      <w:sz w:val="18"/>
      <w:szCs w:val="18"/>
    </w:rPr>
  </w:style>
  <w:style w:type="paragraph" w:styleId="Encabezado">
    <w:name w:val="header"/>
    <w:basedOn w:val="Normal"/>
    <w:link w:val="EncabezadoCar"/>
    <w:uiPriority w:val="99"/>
    <w:unhideWhenUsed/>
    <w:rsid w:val="00A00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C92"/>
  </w:style>
  <w:style w:type="paragraph" w:styleId="Piedepgina">
    <w:name w:val="footer"/>
    <w:basedOn w:val="Normal"/>
    <w:link w:val="PiedepginaCar"/>
    <w:uiPriority w:val="99"/>
    <w:unhideWhenUsed/>
    <w:rsid w:val="00A00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Maria Paz Borquez Riquelme</cp:lastModifiedBy>
  <cp:revision>3</cp:revision>
  <cp:lastPrinted>2015-02-23T20:12:00Z</cp:lastPrinted>
  <dcterms:created xsi:type="dcterms:W3CDTF">2015-02-25T19:03:00Z</dcterms:created>
  <dcterms:modified xsi:type="dcterms:W3CDTF">2015-02-25T19:18:00Z</dcterms:modified>
</cp:coreProperties>
</file>