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AE" w:rsidRDefault="001B2CAE" w:rsidP="001B2CAE">
      <w:pPr>
        <w:contextualSpacing/>
        <w:jc w:val="center"/>
        <w:rPr>
          <w:rFonts w:ascii="Times New Roman" w:hAnsi="Times New Roman" w:cs="Times New Roman"/>
          <w:b/>
        </w:rPr>
      </w:pPr>
      <w:r w:rsidRPr="00A35177">
        <w:rPr>
          <w:rFonts w:ascii="Times New Roman" w:hAnsi="Times New Roman" w:cs="Times New Roman"/>
          <w:b/>
        </w:rPr>
        <w:t>RENTA – ACTUAL LEY SOBRE IMPUESTO A LA –</w:t>
      </w:r>
      <w:r>
        <w:rPr>
          <w:rFonts w:ascii="Times New Roman" w:hAnsi="Times New Roman" w:cs="Times New Roman"/>
          <w:b/>
        </w:rPr>
        <w:t xml:space="preserve"> ART. 17°, N°8, LETRA B) – LEY N° 20.780, DE 2014 – RES. N°127, DE 2014. (ORD. N° 603, DE 25.02.2015)</w:t>
      </w:r>
    </w:p>
    <w:p w:rsidR="001B2CAE" w:rsidRPr="001B2CAE" w:rsidRDefault="001B2CAE" w:rsidP="001B2CAE">
      <w:pPr>
        <w:contextualSpacing/>
        <w:jc w:val="cente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ED1BB0" w:rsidRPr="001B2CAE" w:rsidRDefault="00305775" w:rsidP="00462060">
      <w:pPr>
        <w:spacing w:line="240" w:lineRule="auto"/>
        <w:jc w:val="both"/>
        <w:rPr>
          <w:rFonts w:ascii="Times New Roman" w:hAnsi="Times New Roman" w:cs="Times New Roman"/>
          <w:b/>
        </w:rPr>
      </w:pPr>
      <w:r w:rsidRPr="001B2CAE">
        <w:rPr>
          <w:rFonts w:ascii="Times New Roman" w:eastAsia="Times New Roman" w:hAnsi="Times New Roman" w:cs="Times New Roman"/>
          <w:b/>
          <w:lang w:eastAsia="es-ES"/>
        </w:rPr>
        <w:t>Efecto de la t</w:t>
      </w:r>
      <w:r w:rsidRPr="001B2CAE">
        <w:rPr>
          <w:rFonts w:ascii="Times New Roman" w:eastAsia="Times New Roman" w:hAnsi="Times New Roman" w:cs="Times New Roman"/>
          <w:b/>
          <w:lang w:val="es-ES" w:eastAsia="es-ES"/>
        </w:rPr>
        <w:t xml:space="preserve">asación de mercado del </w:t>
      </w:r>
      <w:r w:rsidRPr="001B2CAE">
        <w:rPr>
          <w:rFonts w:ascii="Times New Roman" w:hAnsi="Times New Roman" w:cs="Times New Roman"/>
          <w:b/>
        </w:rPr>
        <w:t>artículo tercero transitorio, número XVI, literal iii), de la Ley N° 20.780, frente al Impuesto Territorial</w:t>
      </w:r>
      <w:r w:rsidRPr="001B2CAE">
        <w:rPr>
          <w:rFonts w:ascii="Times New Roman" w:eastAsia="Times New Roman" w:hAnsi="Times New Roman" w:cs="Times New Roman"/>
          <w:b/>
          <w:lang w:val="es-ES" w:eastAsia="es-ES"/>
        </w:rPr>
        <w:t>.</w:t>
      </w:r>
    </w:p>
    <w:p w:rsidR="00462060" w:rsidRPr="00D22352" w:rsidRDefault="00462060" w:rsidP="00462060">
      <w:pPr>
        <w:spacing w:line="240" w:lineRule="auto"/>
        <w:jc w:val="both"/>
        <w:rPr>
          <w:rFonts w:ascii="Times New Roman" w:hAnsi="Times New Roman" w:cs="Times New Roman"/>
          <w:b/>
        </w:rPr>
      </w:pPr>
      <w:bookmarkStart w:id="0" w:name="_GoBack"/>
      <w:r w:rsidRPr="00D22352">
        <w:rPr>
          <w:rFonts w:ascii="Times New Roman" w:hAnsi="Times New Roman" w:cs="Times New Roman"/>
          <w:b/>
          <w:lang w:val="es-ES"/>
        </w:rPr>
        <w:t>I</w:t>
      </w:r>
      <w:r w:rsidRPr="00D22352">
        <w:rPr>
          <w:rFonts w:ascii="Times New Roman" w:hAnsi="Times New Roman" w:cs="Times New Roman"/>
          <w:b/>
          <w:lang w:val="es-ES"/>
        </w:rPr>
        <w:tab/>
        <w:t>ANTECEDENTES</w:t>
      </w:r>
    </w:p>
    <w:p w:rsidR="0095185D" w:rsidRPr="00D22352" w:rsidRDefault="0095185D" w:rsidP="00462060">
      <w:pPr>
        <w:spacing w:line="240" w:lineRule="auto"/>
        <w:jc w:val="both"/>
        <w:rPr>
          <w:rFonts w:ascii="Times New Roman" w:hAnsi="Times New Roman" w:cs="Times New Roman"/>
        </w:rPr>
      </w:pPr>
      <w:r w:rsidRPr="00D22352">
        <w:rPr>
          <w:rFonts w:ascii="Times New Roman" w:hAnsi="Times New Roman" w:cs="Times New Roman"/>
        </w:rPr>
        <w:t>De acuerdo a la presentación</w:t>
      </w:r>
      <w:r w:rsidR="005F292E" w:rsidRPr="00D22352">
        <w:rPr>
          <w:rFonts w:ascii="Times New Roman" w:hAnsi="Times New Roman" w:cs="Times New Roman"/>
        </w:rPr>
        <w:t xml:space="preserve"> del antecedente</w:t>
      </w:r>
      <w:r w:rsidRPr="00D22352">
        <w:rPr>
          <w:rFonts w:ascii="Times New Roman" w:hAnsi="Times New Roman" w:cs="Times New Roman"/>
        </w:rPr>
        <w:t xml:space="preserve">, </w:t>
      </w:r>
      <w:r w:rsidR="00677B85" w:rsidRPr="00D22352">
        <w:rPr>
          <w:rFonts w:ascii="Times New Roman" w:hAnsi="Times New Roman" w:cs="Times New Roman"/>
        </w:rPr>
        <w:t xml:space="preserve">ese Ministerio </w:t>
      </w:r>
      <w:r w:rsidR="00462060" w:rsidRPr="00D22352">
        <w:rPr>
          <w:rFonts w:ascii="Times New Roman" w:hAnsi="Times New Roman" w:cs="Times New Roman"/>
        </w:rPr>
        <w:t xml:space="preserve">ha </w:t>
      </w:r>
      <w:r w:rsidR="00677B85" w:rsidRPr="00D22352">
        <w:rPr>
          <w:rFonts w:ascii="Times New Roman" w:hAnsi="Times New Roman" w:cs="Times New Roman"/>
        </w:rPr>
        <w:t xml:space="preserve">tomado conocimiento de una nota publicada en el Diario </w:t>
      </w:r>
      <w:r w:rsidR="00032BDD">
        <w:rPr>
          <w:rFonts w:ascii="Times New Roman" w:hAnsi="Times New Roman" w:cs="Times New Roman"/>
        </w:rPr>
        <w:t>XXX</w:t>
      </w:r>
      <w:r w:rsidR="00677B85" w:rsidRPr="00D22352">
        <w:rPr>
          <w:rFonts w:ascii="Times New Roman" w:hAnsi="Times New Roman" w:cs="Times New Roman"/>
        </w:rPr>
        <w:t xml:space="preserve"> de fecha 16.02.2015, informando que no existiría claridad en el mercado respecto del alcance y aplicación de lo dispuesto en el literal iii), del número XVI, del artículo tercero transitorio </w:t>
      </w:r>
      <w:r w:rsidRPr="00D22352">
        <w:rPr>
          <w:rFonts w:ascii="Times New Roman" w:hAnsi="Times New Roman" w:cs="Times New Roman"/>
        </w:rPr>
        <w:t>de la Ley N° 20.780</w:t>
      </w:r>
      <w:r w:rsidR="00677B85" w:rsidRPr="00D22352">
        <w:rPr>
          <w:rFonts w:ascii="Times New Roman" w:hAnsi="Times New Roman" w:cs="Times New Roman"/>
        </w:rPr>
        <w:t xml:space="preserve"> y su relación con la determinación del avalúo fiscal de las propiedades para efectos del cálculo del Impuesto Territorial según lo dispuesto en la Ley N° 17.235. </w:t>
      </w:r>
    </w:p>
    <w:p w:rsidR="00677B85" w:rsidRPr="00D22352" w:rsidRDefault="00677B85" w:rsidP="00462060">
      <w:pPr>
        <w:spacing w:line="240" w:lineRule="auto"/>
        <w:jc w:val="both"/>
        <w:rPr>
          <w:rFonts w:ascii="Times New Roman" w:hAnsi="Times New Roman" w:cs="Times New Roman"/>
        </w:rPr>
      </w:pPr>
      <w:r w:rsidRPr="00D22352">
        <w:rPr>
          <w:rFonts w:ascii="Times New Roman" w:hAnsi="Times New Roman" w:cs="Times New Roman"/>
        </w:rPr>
        <w:t xml:space="preserve">Señala que este Servicio emitió la Resolución N° 127 de 2014, por medio de la cual se establece el procedimiento y obligaciones que deben cumplir los contribuyentes que deseen optar por considerar como valor de adquisición el valor de mercado de tales bienes a la fecha que establece la citada disposición legal. </w:t>
      </w:r>
    </w:p>
    <w:p w:rsidR="00677B85" w:rsidRPr="00D22352" w:rsidRDefault="00677B85" w:rsidP="00462060">
      <w:pPr>
        <w:spacing w:line="240" w:lineRule="auto"/>
        <w:jc w:val="both"/>
        <w:rPr>
          <w:rFonts w:ascii="Times New Roman" w:hAnsi="Times New Roman" w:cs="Times New Roman"/>
        </w:rPr>
      </w:pPr>
      <w:r w:rsidRPr="00D22352">
        <w:rPr>
          <w:rFonts w:ascii="Times New Roman" w:hAnsi="Times New Roman" w:cs="Times New Roman"/>
        </w:rPr>
        <w:t xml:space="preserve">Al respecto, la nota publicada en el Diario </w:t>
      </w:r>
      <w:r w:rsidR="00032BDD">
        <w:rPr>
          <w:rFonts w:ascii="Times New Roman" w:hAnsi="Times New Roman" w:cs="Times New Roman"/>
        </w:rPr>
        <w:t>XXX</w:t>
      </w:r>
      <w:r w:rsidRPr="00D22352">
        <w:rPr>
          <w:rFonts w:ascii="Times New Roman" w:hAnsi="Times New Roman" w:cs="Times New Roman"/>
        </w:rPr>
        <w:t xml:space="preserve"> de 16.02.2015 señala que existirían dudas respecto a las consecuencias que tendría el ejercicio de la opción </w:t>
      </w:r>
      <w:r w:rsidR="00C0238E" w:rsidRPr="00D22352">
        <w:rPr>
          <w:rFonts w:ascii="Times New Roman" w:hAnsi="Times New Roman" w:cs="Times New Roman"/>
        </w:rPr>
        <w:t>referida</w:t>
      </w:r>
      <w:r w:rsidRPr="00D22352">
        <w:rPr>
          <w:rFonts w:ascii="Times New Roman" w:hAnsi="Times New Roman" w:cs="Times New Roman"/>
        </w:rPr>
        <w:t xml:space="preserve"> y su relación con las disposiciones de la Ley N° 17.235, sobre Impuesto Territorial. En particular, la nota informa que el ejercicio de la opción de tasación del bien podría derivar en un incremento del valor de adquisición y en un incremento del avalúo fiscal de las mismas. En consecuencia, en un incremento de las contribuciones a pagar. </w:t>
      </w:r>
    </w:p>
    <w:p w:rsidR="00677B85" w:rsidRPr="00D22352" w:rsidRDefault="00677B85" w:rsidP="00462060">
      <w:pPr>
        <w:spacing w:line="240" w:lineRule="auto"/>
        <w:jc w:val="both"/>
        <w:rPr>
          <w:rFonts w:ascii="Times New Roman" w:hAnsi="Times New Roman" w:cs="Times New Roman"/>
        </w:rPr>
      </w:pPr>
      <w:r w:rsidRPr="00D22352">
        <w:rPr>
          <w:rFonts w:ascii="Times New Roman" w:hAnsi="Times New Roman" w:cs="Times New Roman"/>
        </w:rPr>
        <w:t xml:space="preserve">Por tanto, en orden a obtener un correcto entendimiento de la materia en cuestión, ese Ministerio solicita confirmar la correcta interpretación del numeral iii), del número XVI, del artículo tercero transitorio, de la Ley N° 20.780, en cuanto a las consecuencias que se deriven a partir del ejercicio de esta opción con relación a las disposiciones de la Ley N° 17.235. </w:t>
      </w:r>
    </w:p>
    <w:p w:rsidR="00462060" w:rsidRPr="00D22352" w:rsidRDefault="00462060" w:rsidP="00462060">
      <w:pPr>
        <w:spacing w:line="240" w:lineRule="auto"/>
        <w:jc w:val="both"/>
        <w:rPr>
          <w:rFonts w:ascii="Times New Roman" w:hAnsi="Times New Roman" w:cs="Times New Roman"/>
          <w:b/>
        </w:rPr>
      </w:pPr>
      <w:r w:rsidRPr="00D22352">
        <w:rPr>
          <w:rFonts w:ascii="Times New Roman" w:hAnsi="Times New Roman" w:cs="Times New Roman"/>
          <w:b/>
        </w:rPr>
        <w:t>II</w:t>
      </w:r>
      <w:r w:rsidRPr="00D22352">
        <w:rPr>
          <w:rFonts w:ascii="Times New Roman" w:hAnsi="Times New Roman" w:cs="Times New Roman"/>
          <w:b/>
        </w:rPr>
        <w:tab/>
        <w:t>ANÁLISIS</w:t>
      </w:r>
    </w:p>
    <w:p w:rsidR="00905304" w:rsidRPr="00D22352" w:rsidRDefault="00905304" w:rsidP="00905304">
      <w:pPr>
        <w:spacing w:line="240" w:lineRule="auto"/>
        <w:jc w:val="both"/>
        <w:rPr>
          <w:rFonts w:ascii="Times New Roman" w:hAnsi="Times New Roman" w:cs="Times New Roman"/>
        </w:rPr>
      </w:pPr>
      <w:r w:rsidRPr="00D22352">
        <w:rPr>
          <w:rFonts w:ascii="Times New Roman" w:hAnsi="Times New Roman" w:cs="Times New Roman"/>
        </w:rPr>
        <w:t xml:space="preserve">Para una debida inteligencia del literal iii), contenido el </w:t>
      </w:r>
      <w:r w:rsidR="00677B85" w:rsidRPr="00D22352">
        <w:rPr>
          <w:rFonts w:ascii="Times New Roman" w:hAnsi="Times New Roman" w:cs="Times New Roman"/>
        </w:rPr>
        <w:t>número</w:t>
      </w:r>
      <w:r w:rsidRPr="00D22352">
        <w:rPr>
          <w:rFonts w:ascii="Times New Roman" w:hAnsi="Times New Roman" w:cs="Times New Roman"/>
        </w:rPr>
        <w:t xml:space="preserve"> XVI, </w:t>
      </w:r>
      <w:r w:rsidR="005C00F3" w:rsidRPr="00D22352">
        <w:rPr>
          <w:rFonts w:ascii="Times New Roman" w:hAnsi="Times New Roman" w:cs="Times New Roman"/>
        </w:rPr>
        <w:t xml:space="preserve">del artículo tercero, </w:t>
      </w:r>
      <w:r w:rsidRPr="00D22352">
        <w:rPr>
          <w:rFonts w:ascii="Times New Roman" w:hAnsi="Times New Roman" w:cs="Times New Roman"/>
        </w:rPr>
        <w:t>Ley N° 20.780,</w:t>
      </w:r>
      <w:r w:rsidR="005C00F3" w:rsidRPr="00D22352">
        <w:rPr>
          <w:rFonts w:ascii="Times New Roman" w:hAnsi="Times New Roman" w:cs="Times New Roman"/>
        </w:rPr>
        <w:t xml:space="preserve"> sobre Reforma Tributaria, es menester transcribir </w:t>
      </w:r>
      <w:r w:rsidR="0003623E" w:rsidRPr="00D22352">
        <w:rPr>
          <w:rFonts w:ascii="Times New Roman" w:hAnsi="Times New Roman" w:cs="Times New Roman"/>
        </w:rPr>
        <w:t>las partes relevantes del texto legal</w:t>
      </w:r>
      <w:r w:rsidR="005C00F3" w:rsidRPr="00D22352">
        <w:rPr>
          <w:rFonts w:ascii="Times New Roman" w:hAnsi="Times New Roman" w:cs="Times New Roman"/>
        </w:rPr>
        <w:t xml:space="preserve">. </w:t>
      </w:r>
    </w:p>
    <w:p w:rsidR="00905304" w:rsidRPr="00D22352" w:rsidRDefault="00905304" w:rsidP="00905304">
      <w:pPr>
        <w:spacing w:line="240" w:lineRule="auto"/>
        <w:jc w:val="both"/>
        <w:rPr>
          <w:rFonts w:ascii="Times New Roman" w:hAnsi="Times New Roman" w:cs="Times New Roman"/>
        </w:rPr>
      </w:pPr>
      <w:r w:rsidRPr="00D22352">
        <w:rPr>
          <w:rFonts w:ascii="Times New Roman" w:hAnsi="Times New Roman" w:cs="Times New Roman"/>
        </w:rPr>
        <w:t xml:space="preserve">De acuerdo al </w:t>
      </w:r>
      <w:r w:rsidR="00BB3568" w:rsidRPr="00D22352">
        <w:rPr>
          <w:rFonts w:ascii="Times New Roman" w:hAnsi="Times New Roman" w:cs="Times New Roman"/>
        </w:rPr>
        <w:t xml:space="preserve">artículo tercero transitorio, </w:t>
      </w:r>
      <w:r w:rsidR="00677B85" w:rsidRPr="00D22352">
        <w:rPr>
          <w:rFonts w:ascii="Times New Roman" w:hAnsi="Times New Roman" w:cs="Times New Roman"/>
        </w:rPr>
        <w:t>número</w:t>
      </w:r>
      <w:r w:rsidR="00BB3568" w:rsidRPr="00D22352">
        <w:rPr>
          <w:rFonts w:ascii="Times New Roman" w:hAnsi="Times New Roman" w:cs="Times New Roman"/>
        </w:rPr>
        <w:t xml:space="preserve"> XVI, </w:t>
      </w:r>
      <w:r w:rsidR="005C00F3" w:rsidRPr="00D22352">
        <w:rPr>
          <w:rFonts w:ascii="Times New Roman" w:hAnsi="Times New Roman" w:cs="Times New Roman"/>
        </w:rPr>
        <w:t>antes citado, “</w:t>
      </w:r>
      <w:r w:rsidRPr="00D22352">
        <w:rPr>
          <w:rFonts w:ascii="Times New Roman" w:hAnsi="Times New Roman" w:cs="Times New Roman"/>
        </w:rPr>
        <w:t>tratándose de la enajenación de bienes raíces situados en Chile, o de derechos o cuotas respecto de tales bienes raíces poseídos en comunidad, adquiridos con anterioridad a la fecha de publicación de esta ley en el diario oficial, efectuada por personas naturales con domicilio o residencia en Chile, que no sean contribuyentes del impuesto de primera categoría que declaren su renta efectiva, para los efectos de determinar el mayor valor a que se refiere la letra b), del número 8, del artículo 17 de la ley sobre Impuesto a la Renta, de acuerdo a su texto vigente a contar del 1 de enero de 2017, podrán considerar como valor de adquisición:</w:t>
      </w:r>
    </w:p>
    <w:p w:rsidR="00905304" w:rsidRPr="00D22352" w:rsidRDefault="00905304" w:rsidP="005C00F3">
      <w:pPr>
        <w:pStyle w:val="Prrafodelista"/>
        <w:numPr>
          <w:ilvl w:val="0"/>
          <w:numId w:val="28"/>
        </w:numPr>
        <w:spacing w:line="240" w:lineRule="auto"/>
        <w:ind w:left="426" w:hanging="426"/>
        <w:jc w:val="both"/>
        <w:rPr>
          <w:rFonts w:ascii="Times New Roman" w:hAnsi="Times New Roman" w:cs="Times New Roman"/>
        </w:rPr>
      </w:pPr>
      <w:r w:rsidRPr="00D22352">
        <w:rPr>
          <w:rFonts w:ascii="Times New Roman" w:hAnsi="Times New Roman" w:cs="Times New Roman"/>
        </w:rPr>
        <w:t>El valor de adquisición, reajustado de acuerdo a la variación del Índice de Precios al Consumidor entre el mes anterior a la adquisición del bien respectivo y el mes anterior al de la enajenación. En este caso formarán parte del valor de adquisición, los desembolsos incurridos en mejoras que hayan aumentado el valor del bien, efectuadas por el enajenante o un tercero, siempre que hayan pasado a formar parte de la propiedad del enajenante y hayan sido declaradas en la oportunidad que corresponda ante el Servicio, en la forma que éste establezca mediante resolución, para ser incorporadas en la determinación del avalúo fiscal de la respectiva propiedad para los fines del impuesto territorial, con anterioridad a la enajenación.</w:t>
      </w:r>
    </w:p>
    <w:p w:rsidR="005C00F3" w:rsidRPr="00D22352" w:rsidRDefault="005C00F3" w:rsidP="005C00F3">
      <w:pPr>
        <w:pStyle w:val="Prrafodelista"/>
        <w:spacing w:line="240" w:lineRule="auto"/>
        <w:ind w:left="426" w:hanging="426"/>
        <w:jc w:val="both"/>
        <w:rPr>
          <w:rFonts w:ascii="Times New Roman" w:hAnsi="Times New Roman" w:cs="Times New Roman"/>
        </w:rPr>
      </w:pPr>
    </w:p>
    <w:p w:rsidR="00905304" w:rsidRPr="00D22352" w:rsidRDefault="00905304" w:rsidP="005C00F3">
      <w:pPr>
        <w:pStyle w:val="Prrafodelista"/>
        <w:numPr>
          <w:ilvl w:val="0"/>
          <w:numId w:val="28"/>
        </w:numPr>
        <w:spacing w:line="240" w:lineRule="auto"/>
        <w:ind w:left="426" w:hanging="426"/>
        <w:jc w:val="both"/>
        <w:rPr>
          <w:rFonts w:ascii="Times New Roman" w:hAnsi="Times New Roman" w:cs="Times New Roman"/>
        </w:rPr>
      </w:pPr>
      <w:r w:rsidRPr="00D22352">
        <w:rPr>
          <w:rFonts w:ascii="Times New Roman" w:hAnsi="Times New Roman" w:cs="Times New Roman"/>
        </w:rPr>
        <w:t>El avalúo fiscal del bien respectivo, vigente al 1 de enero de 2017, reajustado de acuerdo a la variación del Índice de Precios al Consumidor entre el mes de diciembre 2016 y el mes anterior al de la enajenación.</w:t>
      </w:r>
    </w:p>
    <w:p w:rsidR="005C00F3" w:rsidRPr="00D22352" w:rsidRDefault="005C00F3" w:rsidP="005C00F3">
      <w:pPr>
        <w:pStyle w:val="Prrafodelista"/>
        <w:ind w:left="426" w:hanging="426"/>
        <w:rPr>
          <w:rFonts w:ascii="Times New Roman" w:hAnsi="Times New Roman" w:cs="Times New Roman"/>
        </w:rPr>
      </w:pPr>
    </w:p>
    <w:p w:rsidR="00BB3568" w:rsidRPr="00D22352" w:rsidRDefault="00905304" w:rsidP="005C00F3">
      <w:pPr>
        <w:pStyle w:val="Prrafodelista"/>
        <w:numPr>
          <w:ilvl w:val="0"/>
          <w:numId w:val="28"/>
        </w:numPr>
        <w:spacing w:line="240" w:lineRule="auto"/>
        <w:ind w:left="426" w:hanging="426"/>
        <w:jc w:val="both"/>
        <w:rPr>
          <w:rFonts w:ascii="Times New Roman" w:hAnsi="Times New Roman" w:cs="Times New Roman"/>
        </w:rPr>
      </w:pPr>
      <w:r w:rsidRPr="00D22352">
        <w:rPr>
          <w:rFonts w:ascii="Times New Roman" w:hAnsi="Times New Roman" w:cs="Times New Roman"/>
        </w:rPr>
        <w:t>El valor de mercado acreditado fehacientemente por el contribuyente, a la fecha de publicación de la ley. Esta tasación deberá ser comunicada al Servicio de Impuestos Internos hasta el 31 de diciembre de 2015, en la forma que dicho organismo establezca mediante resolución.</w:t>
      </w:r>
      <w:r w:rsidR="005C00F3" w:rsidRPr="00D22352">
        <w:rPr>
          <w:rFonts w:ascii="Times New Roman" w:hAnsi="Times New Roman" w:cs="Times New Roman"/>
        </w:rPr>
        <w:t>”</w:t>
      </w:r>
    </w:p>
    <w:p w:rsidR="00BB3568" w:rsidRPr="00D22352" w:rsidRDefault="001D29EC" w:rsidP="00905304">
      <w:pPr>
        <w:spacing w:after="240" w:line="240" w:lineRule="auto"/>
        <w:jc w:val="both"/>
        <w:rPr>
          <w:rFonts w:ascii="Times New Roman" w:hAnsi="Times New Roman" w:cs="Times New Roman"/>
        </w:rPr>
      </w:pPr>
      <w:r w:rsidRPr="00D22352">
        <w:rPr>
          <w:rFonts w:ascii="Times New Roman" w:hAnsi="Times New Roman" w:cs="Times New Roman"/>
        </w:rPr>
        <w:lastRenderedPageBreak/>
        <w:t xml:space="preserve">Como primera cuestión, se observa que </w:t>
      </w:r>
      <w:r w:rsidR="005C00F3" w:rsidRPr="00D22352">
        <w:rPr>
          <w:rFonts w:ascii="Times New Roman" w:hAnsi="Times New Roman" w:cs="Times New Roman"/>
        </w:rPr>
        <w:t xml:space="preserve">cada una de las </w:t>
      </w:r>
      <w:r w:rsidRPr="00D22352">
        <w:rPr>
          <w:rFonts w:ascii="Times New Roman" w:hAnsi="Times New Roman" w:cs="Times New Roman"/>
        </w:rPr>
        <w:t>opciones</w:t>
      </w:r>
      <w:r w:rsidR="005C00F3" w:rsidRPr="00D22352">
        <w:rPr>
          <w:rFonts w:ascii="Times New Roman" w:hAnsi="Times New Roman" w:cs="Times New Roman"/>
        </w:rPr>
        <w:t xml:space="preserve"> dispuestas </w:t>
      </w:r>
      <w:r w:rsidRPr="00D22352">
        <w:rPr>
          <w:rFonts w:ascii="Times New Roman" w:hAnsi="Times New Roman" w:cs="Times New Roman"/>
        </w:rPr>
        <w:t xml:space="preserve">por la ley </w:t>
      </w:r>
      <w:r w:rsidR="005C00F3" w:rsidRPr="00D22352">
        <w:rPr>
          <w:rFonts w:ascii="Times New Roman" w:hAnsi="Times New Roman" w:cs="Times New Roman"/>
        </w:rPr>
        <w:t xml:space="preserve">para determinar el valor de adquisición </w:t>
      </w:r>
      <w:r w:rsidRPr="00D22352">
        <w:rPr>
          <w:rFonts w:ascii="Times New Roman" w:hAnsi="Times New Roman" w:cs="Times New Roman"/>
        </w:rPr>
        <w:t>contiene</w:t>
      </w:r>
      <w:r w:rsidR="005C00F3" w:rsidRPr="00D22352">
        <w:rPr>
          <w:rFonts w:ascii="Times New Roman" w:hAnsi="Times New Roman" w:cs="Times New Roman"/>
        </w:rPr>
        <w:t xml:space="preserve"> sus propias condiciones de aplicación, de suerte que no es posible extender</w:t>
      </w:r>
      <w:r w:rsidRPr="00D22352">
        <w:rPr>
          <w:rFonts w:ascii="Times New Roman" w:hAnsi="Times New Roman" w:cs="Times New Roman"/>
        </w:rPr>
        <w:t>,</w:t>
      </w:r>
      <w:r w:rsidR="005C00F3" w:rsidRPr="00D22352">
        <w:rPr>
          <w:rFonts w:ascii="Times New Roman" w:hAnsi="Times New Roman" w:cs="Times New Roman"/>
        </w:rPr>
        <w:t xml:space="preserve"> </w:t>
      </w:r>
      <w:r w:rsidR="009F4586" w:rsidRPr="00D22352">
        <w:rPr>
          <w:rFonts w:ascii="Times New Roman" w:hAnsi="Times New Roman" w:cs="Times New Roman"/>
        </w:rPr>
        <w:t>por vía de interpretación o analogía</w:t>
      </w:r>
      <w:r w:rsidRPr="00D22352">
        <w:rPr>
          <w:rFonts w:ascii="Times New Roman" w:hAnsi="Times New Roman" w:cs="Times New Roman"/>
        </w:rPr>
        <w:t>,</w:t>
      </w:r>
      <w:r w:rsidR="009F4586" w:rsidRPr="00D22352">
        <w:rPr>
          <w:rFonts w:ascii="Times New Roman" w:hAnsi="Times New Roman" w:cs="Times New Roman"/>
        </w:rPr>
        <w:t xml:space="preserve"> </w:t>
      </w:r>
      <w:r w:rsidR="005C00F3" w:rsidRPr="00D22352">
        <w:rPr>
          <w:rFonts w:ascii="Times New Roman" w:hAnsi="Times New Roman" w:cs="Times New Roman"/>
        </w:rPr>
        <w:t xml:space="preserve">los requisitos y condiciones </w:t>
      </w:r>
      <w:r w:rsidRPr="00D22352">
        <w:rPr>
          <w:rFonts w:ascii="Times New Roman" w:hAnsi="Times New Roman" w:cs="Times New Roman"/>
        </w:rPr>
        <w:t>de una opción a otra</w:t>
      </w:r>
      <w:r w:rsidR="005C00F3" w:rsidRPr="00D22352">
        <w:rPr>
          <w:rFonts w:ascii="Times New Roman" w:hAnsi="Times New Roman" w:cs="Times New Roman"/>
        </w:rPr>
        <w:t xml:space="preserve">.  </w:t>
      </w:r>
    </w:p>
    <w:p w:rsidR="009F4586" w:rsidRPr="00D22352" w:rsidRDefault="005C00F3" w:rsidP="00905304">
      <w:pPr>
        <w:spacing w:after="240" w:line="240" w:lineRule="auto"/>
        <w:jc w:val="both"/>
        <w:rPr>
          <w:rFonts w:ascii="Times New Roman" w:hAnsi="Times New Roman" w:cs="Times New Roman"/>
        </w:rPr>
      </w:pPr>
      <w:r w:rsidRPr="00D22352">
        <w:rPr>
          <w:rFonts w:ascii="Times New Roman" w:eastAsia="Times New Roman" w:hAnsi="Times New Roman" w:cs="Times New Roman"/>
          <w:lang w:eastAsia="es-CL"/>
        </w:rPr>
        <w:t xml:space="preserve">Dicho lo anterior, se </w:t>
      </w:r>
      <w:r w:rsidR="009F4586" w:rsidRPr="00D22352">
        <w:rPr>
          <w:rFonts w:ascii="Times New Roman" w:eastAsia="Times New Roman" w:hAnsi="Times New Roman" w:cs="Times New Roman"/>
          <w:lang w:eastAsia="es-CL"/>
        </w:rPr>
        <w:t>advierte</w:t>
      </w:r>
      <w:r w:rsidRPr="00D22352">
        <w:rPr>
          <w:rFonts w:ascii="Times New Roman" w:eastAsia="Times New Roman" w:hAnsi="Times New Roman" w:cs="Times New Roman"/>
          <w:lang w:eastAsia="es-CL"/>
        </w:rPr>
        <w:t xml:space="preserve"> que solamente la </w:t>
      </w:r>
      <w:r w:rsidR="001D29EC" w:rsidRPr="00D22352">
        <w:rPr>
          <w:rFonts w:ascii="Times New Roman" w:eastAsia="Times New Roman" w:hAnsi="Times New Roman" w:cs="Times New Roman"/>
          <w:lang w:eastAsia="es-CL"/>
        </w:rPr>
        <w:t>opción</w:t>
      </w:r>
      <w:r w:rsidRPr="00D22352">
        <w:rPr>
          <w:rFonts w:ascii="Times New Roman" w:eastAsia="Times New Roman" w:hAnsi="Times New Roman" w:cs="Times New Roman"/>
          <w:lang w:eastAsia="es-CL"/>
        </w:rPr>
        <w:t xml:space="preserve"> dispuesta en el literal i), antes citado,</w:t>
      </w:r>
      <w:r w:rsidR="009F4586" w:rsidRPr="00D22352">
        <w:rPr>
          <w:rFonts w:ascii="Times New Roman" w:eastAsia="Times New Roman" w:hAnsi="Times New Roman" w:cs="Times New Roman"/>
          <w:lang w:eastAsia="es-CL"/>
        </w:rPr>
        <w:t xml:space="preserve"> permite considerar como formando parte del valor de adquisición </w:t>
      </w:r>
      <w:r w:rsidR="009F4586" w:rsidRPr="00D22352">
        <w:rPr>
          <w:rFonts w:ascii="Times New Roman" w:hAnsi="Times New Roman" w:cs="Times New Roman"/>
        </w:rPr>
        <w:t>los desembolsos incurridos en mejoras que, cumpliendo demás condiciones, “hayan sido declaradas en la oportunidad que corresponda ante el Servicio, en la forma que éste establezca mediante resolución, para ser incorporadas en la determinación del avalúo fiscal de la respectiva propiedad para los fines del impuesto territorial”.</w:t>
      </w:r>
    </w:p>
    <w:p w:rsidR="009F4586" w:rsidRPr="00D22352" w:rsidRDefault="005F292E" w:rsidP="00905304">
      <w:pPr>
        <w:spacing w:after="240" w:line="240" w:lineRule="auto"/>
        <w:jc w:val="both"/>
        <w:rPr>
          <w:rFonts w:ascii="Times New Roman" w:hAnsi="Times New Roman" w:cs="Times New Roman"/>
        </w:rPr>
      </w:pPr>
      <w:r w:rsidRPr="00D22352">
        <w:rPr>
          <w:rFonts w:ascii="Times New Roman" w:hAnsi="Times New Roman" w:cs="Times New Roman"/>
        </w:rPr>
        <w:t xml:space="preserve">Por su parte, </w:t>
      </w:r>
      <w:r w:rsidR="009F4586" w:rsidRPr="00D22352">
        <w:rPr>
          <w:rFonts w:ascii="Times New Roman" w:hAnsi="Times New Roman" w:cs="Times New Roman"/>
        </w:rPr>
        <w:t xml:space="preserve">la </w:t>
      </w:r>
      <w:r w:rsidR="001D29EC" w:rsidRPr="00D22352">
        <w:rPr>
          <w:rFonts w:ascii="Times New Roman" w:hAnsi="Times New Roman" w:cs="Times New Roman"/>
        </w:rPr>
        <w:t>opción</w:t>
      </w:r>
      <w:r w:rsidRPr="00D22352">
        <w:rPr>
          <w:rFonts w:ascii="Times New Roman" w:hAnsi="Times New Roman" w:cs="Times New Roman"/>
        </w:rPr>
        <w:t xml:space="preserve"> dispuesta en el literal iii) permite considerar como valor de adquisición el valor de mercado del inmueble en la medida que</w:t>
      </w:r>
      <w:r w:rsidR="009F4586" w:rsidRPr="00D22352">
        <w:rPr>
          <w:rFonts w:ascii="Times New Roman" w:hAnsi="Times New Roman" w:cs="Times New Roman"/>
        </w:rPr>
        <w:t xml:space="preserve">: </w:t>
      </w:r>
    </w:p>
    <w:p w:rsidR="009F4586" w:rsidRPr="00D22352" w:rsidRDefault="005F292E" w:rsidP="009F4586">
      <w:pPr>
        <w:pStyle w:val="Prrafodelista"/>
        <w:numPr>
          <w:ilvl w:val="0"/>
          <w:numId w:val="29"/>
        </w:numPr>
        <w:spacing w:after="240" w:line="240" w:lineRule="auto"/>
        <w:jc w:val="both"/>
        <w:rPr>
          <w:rFonts w:ascii="Times New Roman" w:hAnsi="Times New Roman" w:cs="Times New Roman"/>
        </w:rPr>
      </w:pPr>
      <w:r w:rsidRPr="00D22352">
        <w:rPr>
          <w:rFonts w:ascii="Times New Roman" w:hAnsi="Times New Roman" w:cs="Times New Roman"/>
        </w:rPr>
        <w:t xml:space="preserve">Dicho valor </w:t>
      </w:r>
      <w:r w:rsidR="009F4586" w:rsidRPr="00D22352">
        <w:rPr>
          <w:rFonts w:ascii="Times New Roman" w:hAnsi="Times New Roman" w:cs="Times New Roman"/>
        </w:rPr>
        <w:t>sea fehacientemente acreditado</w:t>
      </w:r>
      <w:r w:rsidRPr="00D22352">
        <w:rPr>
          <w:rFonts w:ascii="Times New Roman" w:hAnsi="Times New Roman" w:cs="Times New Roman"/>
        </w:rPr>
        <w:t xml:space="preserve"> mediante una tasación,</w:t>
      </w:r>
      <w:r w:rsidR="009F4586" w:rsidRPr="00D22352">
        <w:rPr>
          <w:rFonts w:ascii="Times New Roman" w:hAnsi="Times New Roman" w:cs="Times New Roman"/>
        </w:rPr>
        <w:t xml:space="preserve"> </w:t>
      </w:r>
    </w:p>
    <w:p w:rsidR="005F292E" w:rsidRPr="00D22352" w:rsidRDefault="005F292E" w:rsidP="005F292E">
      <w:pPr>
        <w:pStyle w:val="Prrafodelista"/>
        <w:spacing w:after="240" w:line="240" w:lineRule="auto"/>
        <w:ind w:left="360"/>
        <w:jc w:val="both"/>
        <w:rPr>
          <w:rFonts w:ascii="Times New Roman" w:hAnsi="Times New Roman" w:cs="Times New Roman"/>
        </w:rPr>
      </w:pPr>
    </w:p>
    <w:p w:rsidR="009F4586" w:rsidRPr="00D22352" w:rsidRDefault="009F4586" w:rsidP="009F4586">
      <w:pPr>
        <w:pStyle w:val="Prrafodelista"/>
        <w:numPr>
          <w:ilvl w:val="0"/>
          <w:numId w:val="29"/>
        </w:numPr>
        <w:spacing w:after="240" w:line="240" w:lineRule="auto"/>
        <w:jc w:val="both"/>
        <w:rPr>
          <w:rFonts w:ascii="Times New Roman" w:hAnsi="Times New Roman" w:cs="Times New Roman"/>
        </w:rPr>
      </w:pPr>
      <w:r w:rsidRPr="00D22352">
        <w:rPr>
          <w:rFonts w:ascii="Times New Roman" w:hAnsi="Times New Roman" w:cs="Times New Roman"/>
        </w:rPr>
        <w:t xml:space="preserve">Corresponda al valor </w:t>
      </w:r>
      <w:r w:rsidR="005F292E" w:rsidRPr="00D22352">
        <w:rPr>
          <w:rFonts w:ascii="Times New Roman" w:hAnsi="Times New Roman" w:cs="Times New Roman"/>
        </w:rPr>
        <w:t xml:space="preserve">de mercado del inmueble a la fecha de publicarse la ley (esto es, 29.09.2014), </w:t>
      </w:r>
    </w:p>
    <w:p w:rsidR="005F292E" w:rsidRPr="00D22352" w:rsidRDefault="005F292E" w:rsidP="005F292E">
      <w:pPr>
        <w:pStyle w:val="Prrafodelista"/>
        <w:rPr>
          <w:rFonts w:ascii="Times New Roman" w:hAnsi="Times New Roman" w:cs="Times New Roman"/>
        </w:rPr>
      </w:pPr>
    </w:p>
    <w:p w:rsidR="005F292E" w:rsidRPr="00D22352" w:rsidRDefault="00C0238E" w:rsidP="009F4586">
      <w:pPr>
        <w:pStyle w:val="Prrafodelista"/>
        <w:numPr>
          <w:ilvl w:val="0"/>
          <w:numId w:val="29"/>
        </w:numPr>
        <w:spacing w:after="240" w:line="240" w:lineRule="auto"/>
        <w:jc w:val="both"/>
        <w:rPr>
          <w:rFonts w:ascii="Times New Roman" w:hAnsi="Times New Roman" w:cs="Times New Roman"/>
        </w:rPr>
      </w:pPr>
      <w:r w:rsidRPr="00D22352">
        <w:rPr>
          <w:rFonts w:ascii="Times New Roman" w:hAnsi="Times New Roman" w:cs="Times New Roman"/>
        </w:rPr>
        <w:t>Se c</w:t>
      </w:r>
      <w:r w:rsidR="005F292E" w:rsidRPr="00D22352">
        <w:rPr>
          <w:rFonts w:ascii="Times New Roman" w:hAnsi="Times New Roman" w:cs="Times New Roman"/>
        </w:rPr>
        <w:t>omuni</w:t>
      </w:r>
      <w:r w:rsidRPr="00D22352">
        <w:rPr>
          <w:rFonts w:ascii="Times New Roman" w:hAnsi="Times New Roman" w:cs="Times New Roman"/>
        </w:rPr>
        <w:t xml:space="preserve">que </w:t>
      </w:r>
      <w:r w:rsidR="005F292E" w:rsidRPr="00D22352">
        <w:rPr>
          <w:rFonts w:ascii="Times New Roman" w:hAnsi="Times New Roman" w:cs="Times New Roman"/>
        </w:rPr>
        <w:t>la tasación al Servicio de Impuestos Internos hasta el 31.12.2015</w:t>
      </w:r>
    </w:p>
    <w:p w:rsidR="005F292E" w:rsidRPr="00D22352" w:rsidRDefault="005F292E" w:rsidP="005F292E">
      <w:pPr>
        <w:spacing w:after="240" w:line="240" w:lineRule="auto"/>
        <w:jc w:val="both"/>
        <w:rPr>
          <w:rFonts w:ascii="Times New Roman" w:hAnsi="Times New Roman" w:cs="Times New Roman"/>
        </w:rPr>
      </w:pPr>
      <w:r w:rsidRPr="00D22352">
        <w:rPr>
          <w:rFonts w:ascii="Times New Roman" w:hAnsi="Times New Roman" w:cs="Times New Roman"/>
        </w:rPr>
        <w:t xml:space="preserve">Como </w:t>
      </w:r>
      <w:r w:rsidR="0003623E" w:rsidRPr="00D22352">
        <w:rPr>
          <w:rFonts w:ascii="Times New Roman" w:hAnsi="Times New Roman" w:cs="Times New Roman"/>
        </w:rPr>
        <w:t>se puede apreciar</w:t>
      </w:r>
      <w:r w:rsidRPr="00D22352">
        <w:rPr>
          <w:rFonts w:ascii="Times New Roman" w:hAnsi="Times New Roman" w:cs="Times New Roman"/>
        </w:rPr>
        <w:t>, el literal iii), a diferencia del literal i), en parte alguna habilita al Servicio de Impuestos Internos para incrementar el avalúo fiscal en función de la tasación de mercado c</w:t>
      </w:r>
      <w:r w:rsidR="00C0238E" w:rsidRPr="00D22352">
        <w:rPr>
          <w:rFonts w:ascii="Times New Roman" w:hAnsi="Times New Roman" w:cs="Times New Roman"/>
        </w:rPr>
        <w:t xml:space="preserve">omunicada por el contribuyente ni establece como condición que ésta se incorpore en la determinación del avalúo fiscal de la propiedad para los fines del Impuesto Territorial. </w:t>
      </w:r>
    </w:p>
    <w:p w:rsidR="0003623E" w:rsidRPr="00D22352" w:rsidRDefault="0003623E" w:rsidP="0003623E">
      <w:pPr>
        <w:spacing w:after="240" w:line="240" w:lineRule="auto"/>
        <w:jc w:val="both"/>
        <w:rPr>
          <w:rFonts w:ascii="Times New Roman" w:hAnsi="Times New Roman" w:cs="Times New Roman"/>
        </w:rPr>
      </w:pPr>
      <w:r w:rsidRPr="00D22352">
        <w:rPr>
          <w:rFonts w:ascii="Times New Roman" w:hAnsi="Times New Roman" w:cs="Times New Roman"/>
        </w:rPr>
        <w:t xml:space="preserve">Finalmente, y como argumento </w:t>
      </w:r>
      <w:r w:rsidR="00C0238E" w:rsidRPr="00D22352">
        <w:rPr>
          <w:rFonts w:ascii="Times New Roman" w:hAnsi="Times New Roman" w:cs="Times New Roman"/>
        </w:rPr>
        <w:t xml:space="preserve">de </w:t>
      </w:r>
      <w:r w:rsidRPr="00D22352">
        <w:rPr>
          <w:rFonts w:ascii="Times New Roman" w:hAnsi="Times New Roman" w:cs="Times New Roman"/>
        </w:rPr>
        <w:t xml:space="preserve">orden sistemático, </w:t>
      </w:r>
      <w:r w:rsidR="00C0238E" w:rsidRPr="00D22352">
        <w:rPr>
          <w:rFonts w:ascii="Times New Roman" w:hAnsi="Times New Roman" w:cs="Times New Roman"/>
        </w:rPr>
        <w:t>se debe tener</w:t>
      </w:r>
      <w:r w:rsidRPr="00D22352">
        <w:rPr>
          <w:rFonts w:ascii="Times New Roman" w:hAnsi="Times New Roman" w:cs="Times New Roman"/>
        </w:rPr>
        <w:t xml:space="preserve"> presente que el artículo tercero transitorio, número XVI, está destinado a </w:t>
      </w:r>
      <w:r w:rsidR="00C0238E" w:rsidRPr="00D22352">
        <w:rPr>
          <w:rFonts w:ascii="Times New Roman" w:hAnsi="Times New Roman" w:cs="Times New Roman"/>
        </w:rPr>
        <w:t>establecer</w:t>
      </w:r>
      <w:r w:rsidRPr="00D22352">
        <w:rPr>
          <w:rFonts w:ascii="Times New Roman" w:hAnsi="Times New Roman" w:cs="Times New Roman"/>
        </w:rPr>
        <w:t xml:space="preserve"> el </w:t>
      </w:r>
      <w:r w:rsidR="00C0238E" w:rsidRPr="00D22352">
        <w:rPr>
          <w:rFonts w:ascii="Times New Roman" w:hAnsi="Times New Roman" w:cs="Times New Roman"/>
        </w:rPr>
        <w:t xml:space="preserve">valor de adquisición de un bien para determinar el </w:t>
      </w:r>
      <w:r w:rsidRPr="00D22352">
        <w:rPr>
          <w:rFonts w:ascii="Times New Roman" w:hAnsi="Times New Roman" w:cs="Times New Roman"/>
        </w:rPr>
        <w:t>“mayor valor” a que se refiere la letra b), del número 8, del artículo 17 de la ley sobre Impuesto a la Renta</w:t>
      </w:r>
      <w:r w:rsidR="00626C3D" w:rsidRPr="00D22352">
        <w:rPr>
          <w:rFonts w:ascii="Times New Roman" w:hAnsi="Times New Roman" w:cs="Times New Roman"/>
        </w:rPr>
        <w:t xml:space="preserve">; y no </w:t>
      </w:r>
      <w:r w:rsidRPr="00D22352">
        <w:rPr>
          <w:rFonts w:ascii="Times New Roman" w:hAnsi="Times New Roman" w:cs="Times New Roman"/>
        </w:rPr>
        <w:t xml:space="preserve">para modificar el avalúo fiscal </w:t>
      </w:r>
      <w:r w:rsidR="00626C3D" w:rsidRPr="00D22352">
        <w:rPr>
          <w:rFonts w:ascii="Times New Roman" w:hAnsi="Times New Roman" w:cs="Times New Roman"/>
        </w:rPr>
        <w:t xml:space="preserve">de los inmuebles frente al </w:t>
      </w:r>
      <w:r w:rsidRPr="00D22352">
        <w:rPr>
          <w:rFonts w:ascii="Times New Roman" w:hAnsi="Times New Roman" w:cs="Times New Roman"/>
        </w:rPr>
        <w:t xml:space="preserve">Impuesto Territorial. </w:t>
      </w:r>
    </w:p>
    <w:p w:rsidR="00462060" w:rsidRPr="00D22352" w:rsidRDefault="009C2D6A" w:rsidP="00462060">
      <w:pPr>
        <w:spacing w:line="240" w:lineRule="auto"/>
        <w:jc w:val="both"/>
        <w:rPr>
          <w:rFonts w:ascii="Times New Roman" w:hAnsi="Times New Roman" w:cs="Times New Roman"/>
          <w:b/>
        </w:rPr>
      </w:pPr>
      <w:r w:rsidRPr="00D22352">
        <w:rPr>
          <w:rFonts w:ascii="Times New Roman" w:hAnsi="Times New Roman" w:cs="Times New Roman"/>
          <w:b/>
        </w:rPr>
        <w:t>III</w:t>
      </w:r>
      <w:r w:rsidRPr="00D22352">
        <w:rPr>
          <w:rFonts w:ascii="Times New Roman" w:hAnsi="Times New Roman" w:cs="Times New Roman"/>
          <w:b/>
        </w:rPr>
        <w:tab/>
        <w:t>CONCLUSIÓ</w:t>
      </w:r>
      <w:r w:rsidR="00462060" w:rsidRPr="00D22352">
        <w:rPr>
          <w:rFonts w:ascii="Times New Roman" w:hAnsi="Times New Roman" w:cs="Times New Roman"/>
          <w:b/>
        </w:rPr>
        <w:t>N</w:t>
      </w:r>
    </w:p>
    <w:p w:rsidR="00626C3D" w:rsidRPr="00D22352" w:rsidRDefault="001D29EC" w:rsidP="001D29EC">
      <w:pPr>
        <w:spacing w:line="240" w:lineRule="auto"/>
        <w:jc w:val="both"/>
        <w:rPr>
          <w:rFonts w:ascii="Times New Roman" w:hAnsi="Times New Roman" w:cs="Times New Roman"/>
        </w:rPr>
      </w:pPr>
      <w:r w:rsidRPr="00D22352">
        <w:rPr>
          <w:rFonts w:ascii="Times New Roman" w:hAnsi="Times New Roman" w:cs="Times New Roman"/>
        </w:rPr>
        <w:t xml:space="preserve">Conforme lo expuesto precedentemente y de un análisis sistemático de las </w:t>
      </w:r>
      <w:r w:rsidR="00626C3D" w:rsidRPr="00D22352">
        <w:rPr>
          <w:rFonts w:ascii="Times New Roman" w:hAnsi="Times New Roman" w:cs="Times New Roman"/>
        </w:rPr>
        <w:t xml:space="preserve">disposiciones legales pertinentes, </w:t>
      </w:r>
      <w:r w:rsidRPr="00D22352">
        <w:rPr>
          <w:rFonts w:ascii="Times New Roman" w:hAnsi="Times New Roman" w:cs="Times New Roman"/>
        </w:rPr>
        <w:t xml:space="preserve">se comprueba que ninguna incidencia tiene para </w:t>
      </w:r>
      <w:r w:rsidR="00626C3D" w:rsidRPr="00D22352">
        <w:rPr>
          <w:rFonts w:ascii="Times New Roman" w:hAnsi="Times New Roman" w:cs="Times New Roman"/>
        </w:rPr>
        <w:t xml:space="preserve">los </w:t>
      </w:r>
      <w:r w:rsidRPr="00D22352">
        <w:rPr>
          <w:rFonts w:ascii="Times New Roman" w:hAnsi="Times New Roman" w:cs="Times New Roman"/>
        </w:rPr>
        <w:t xml:space="preserve">efectos </w:t>
      </w:r>
      <w:r w:rsidR="00626C3D" w:rsidRPr="00D22352">
        <w:rPr>
          <w:rFonts w:ascii="Times New Roman" w:hAnsi="Times New Roman" w:cs="Times New Roman"/>
        </w:rPr>
        <w:t xml:space="preserve">del avalúo fiscal </w:t>
      </w:r>
      <w:r w:rsidRPr="00D22352">
        <w:rPr>
          <w:rFonts w:ascii="Times New Roman" w:hAnsi="Times New Roman" w:cs="Times New Roman"/>
        </w:rPr>
        <w:t>la tasación de mercado comunicada por el contribuyente en ejercicio de la opción contenida en el literal iii)</w:t>
      </w:r>
      <w:r w:rsidR="00626C3D" w:rsidRPr="00D22352">
        <w:rPr>
          <w:rFonts w:ascii="Times New Roman" w:hAnsi="Times New Roman" w:cs="Times New Roman"/>
        </w:rPr>
        <w:t xml:space="preserve"> del número XVI, artículo tercero transitorio, Ley N° 20.780. </w:t>
      </w:r>
    </w:p>
    <w:p w:rsidR="001D29EC" w:rsidRPr="00D22352" w:rsidRDefault="00626C3D" w:rsidP="001D29EC">
      <w:pPr>
        <w:spacing w:line="240" w:lineRule="auto"/>
        <w:jc w:val="both"/>
        <w:rPr>
          <w:rFonts w:ascii="Times New Roman" w:hAnsi="Times New Roman" w:cs="Times New Roman"/>
        </w:rPr>
      </w:pPr>
      <w:r w:rsidRPr="00D22352">
        <w:rPr>
          <w:rFonts w:ascii="Times New Roman" w:hAnsi="Times New Roman" w:cs="Times New Roman"/>
        </w:rPr>
        <w:t xml:space="preserve">De este modo, aun cuando el </w:t>
      </w:r>
      <w:r w:rsidR="001D29EC" w:rsidRPr="00D22352">
        <w:rPr>
          <w:rFonts w:ascii="Times New Roman" w:hAnsi="Times New Roman" w:cs="Times New Roman"/>
        </w:rPr>
        <w:t xml:space="preserve">valor de tasación </w:t>
      </w:r>
      <w:r w:rsidR="00BC42A5" w:rsidRPr="00D22352">
        <w:rPr>
          <w:rFonts w:ascii="Times New Roman" w:hAnsi="Times New Roman" w:cs="Times New Roman"/>
        </w:rPr>
        <w:t xml:space="preserve">comunicado </w:t>
      </w:r>
      <w:r w:rsidRPr="00D22352">
        <w:rPr>
          <w:rFonts w:ascii="Times New Roman" w:hAnsi="Times New Roman" w:cs="Times New Roman"/>
        </w:rPr>
        <w:t xml:space="preserve">en ejercicio de la opción señalada </w:t>
      </w:r>
      <w:r w:rsidR="00BC42A5" w:rsidRPr="00D22352">
        <w:rPr>
          <w:rFonts w:ascii="Times New Roman" w:hAnsi="Times New Roman" w:cs="Times New Roman"/>
        </w:rPr>
        <w:t xml:space="preserve">sea </w:t>
      </w:r>
      <w:r w:rsidR="001D29EC" w:rsidRPr="00D22352">
        <w:rPr>
          <w:rFonts w:ascii="Times New Roman" w:hAnsi="Times New Roman" w:cs="Times New Roman"/>
        </w:rPr>
        <w:t>superior al avalúo fiscal del inmueble</w:t>
      </w:r>
      <w:r w:rsidRPr="00D22352">
        <w:rPr>
          <w:rFonts w:ascii="Times New Roman" w:hAnsi="Times New Roman" w:cs="Times New Roman"/>
        </w:rPr>
        <w:t xml:space="preserve">, la diferencia no </w:t>
      </w:r>
      <w:r w:rsidR="00C0238E" w:rsidRPr="00D22352">
        <w:rPr>
          <w:rFonts w:ascii="Times New Roman" w:hAnsi="Times New Roman" w:cs="Times New Roman"/>
        </w:rPr>
        <w:t>puede ser</w:t>
      </w:r>
      <w:r w:rsidRPr="00D22352">
        <w:rPr>
          <w:rFonts w:ascii="Times New Roman" w:hAnsi="Times New Roman" w:cs="Times New Roman"/>
        </w:rPr>
        <w:t xml:space="preserve"> considerada para aumentar el avalúo fiscal y, consecuentemente, las contribuciones de</w:t>
      </w:r>
      <w:r w:rsidR="00ED1BB0" w:rsidRPr="00D22352">
        <w:rPr>
          <w:rFonts w:ascii="Times New Roman" w:hAnsi="Times New Roman" w:cs="Times New Roman"/>
        </w:rPr>
        <w:t xml:space="preserve"> los bienes raíces </w:t>
      </w:r>
      <w:r w:rsidR="00903C9F" w:rsidRPr="00D22352">
        <w:rPr>
          <w:rFonts w:ascii="Times New Roman" w:hAnsi="Times New Roman" w:cs="Times New Roman"/>
        </w:rPr>
        <w:t>respectivas</w:t>
      </w:r>
      <w:r w:rsidR="00ED1BB0" w:rsidRPr="00D22352">
        <w:rPr>
          <w:rFonts w:ascii="Times New Roman" w:hAnsi="Times New Roman" w:cs="Times New Roman"/>
        </w:rPr>
        <w:t>.</w:t>
      </w:r>
    </w:p>
    <w:p w:rsidR="00ED1BB0" w:rsidRPr="00D22352" w:rsidRDefault="00ED1BB0" w:rsidP="001D29EC">
      <w:pPr>
        <w:spacing w:line="240" w:lineRule="auto"/>
        <w:jc w:val="both"/>
        <w:rPr>
          <w:rFonts w:ascii="Times New Roman" w:hAnsi="Times New Roman" w:cs="Times New Roman"/>
        </w:rPr>
      </w:pPr>
    </w:p>
    <w:p w:rsidR="006121A2" w:rsidRPr="00D22352" w:rsidRDefault="006121A2" w:rsidP="00462060">
      <w:pPr>
        <w:spacing w:after="0" w:line="240" w:lineRule="auto"/>
        <w:jc w:val="both"/>
        <w:rPr>
          <w:rFonts w:ascii="Times New Roman" w:hAnsi="Times New Roman" w:cs="Times New Roman"/>
        </w:rPr>
      </w:pPr>
    </w:p>
    <w:p w:rsidR="00462060" w:rsidRPr="00D22352" w:rsidRDefault="00462060" w:rsidP="00462060">
      <w:pPr>
        <w:spacing w:after="0" w:line="240" w:lineRule="auto"/>
        <w:jc w:val="both"/>
        <w:rPr>
          <w:rFonts w:ascii="Times New Roman" w:hAnsi="Times New Roman" w:cs="Times New Roman"/>
        </w:rPr>
      </w:pPr>
    </w:p>
    <w:p w:rsidR="00462060" w:rsidRPr="00D22352" w:rsidRDefault="00462060" w:rsidP="00462060">
      <w:pPr>
        <w:spacing w:after="0" w:line="240" w:lineRule="auto"/>
        <w:jc w:val="both"/>
        <w:rPr>
          <w:rFonts w:ascii="Times New Roman" w:hAnsi="Times New Roman" w:cs="Times New Roman"/>
        </w:rPr>
      </w:pPr>
    </w:p>
    <w:p w:rsidR="00462060" w:rsidRPr="00D22352" w:rsidRDefault="00462060" w:rsidP="00462060">
      <w:pPr>
        <w:spacing w:after="0" w:line="240" w:lineRule="auto"/>
        <w:jc w:val="both"/>
        <w:rPr>
          <w:rFonts w:ascii="Times New Roman" w:hAnsi="Times New Roman" w:cs="Times New Roman"/>
        </w:rPr>
      </w:pPr>
    </w:p>
    <w:p w:rsidR="006121A2" w:rsidRPr="00D22352" w:rsidRDefault="005D0E1A" w:rsidP="00032BDD">
      <w:pPr>
        <w:pStyle w:val="Sinespaciado"/>
        <w:ind w:left="4679" w:firstLine="277"/>
        <w:jc w:val="both"/>
        <w:rPr>
          <w:rFonts w:ascii="Times New Roman" w:hAnsi="Times New Roman" w:cs="Times New Roman"/>
          <w:b/>
        </w:rPr>
      </w:pPr>
      <w:r w:rsidRPr="00D22352">
        <w:rPr>
          <w:rFonts w:ascii="Times New Roman" w:hAnsi="Times New Roman" w:cs="Times New Roman"/>
          <w:b/>
        </w:rPr>
        <w:t>JUAN ALBERTO ROJAS BARRANTI</w:t>
      </w:r>
    </w:p>
    <w:p w:rsidR="005D0E1A" w:rsidRPr="00D22352" w:rsidRDefault="005D0E1A" w:rsidP="00462060">
      <w:pPr>
        <w:pStyle w:val="Sinespaciado"/>
        <w:ind w:left="5387"/>
        <w:jc w:val="both"/>
        <w:rPr>
          <w:rFonts w:ascii="Times New Roman" w:hAnsi="Times New Roman" w:cs="Times New Roman"/>
          <w:b/>
        </w:rPr>
      </w:pPr>
      <w:r w:rsidRPr="00D22352">
        <w:rPr>
          <w:rFonts w:ascii="Times New Roman" w:hAnsi="Times New Roman" w:cs="Times New Roman"/>
          <w:b/>
        </w:rPr>
        <w:t xml:space="preserve">                DIRECTOR (S)</w:t>
      </w:r>
    </w:p>
    <w:p w:rsidR="006121A2" w:rsidRPr="00D22352" w:rsidRDefault="006121A2" w:rsidP="00462060">
      <w:pPr>
        <w:pStyle w:val="Sinespaciado"/>
        <w:ind w:left="5387"/>
        <w:jc w:val="both"/>
        <w:rPr>
          <w:rFonts w:ascii="Times New Roman" w:hAnsi="Times New Roman" w:cs="Times New Roman"/>
          <w:b/>
        </w:rPr>
      </w:pPr>
    </w:p>
    <w:p w:rsidR="006121A2" w:rsidRPr="00D22352" w:rsidRDefault="006121A2" w:rsidP="00462060">
      <w:pPr>
        <w:pStyle w:val="Sinespaciado"/>
        <w:ind w:left="5387"/>
        <w:jc w:val="both"/>
        <w:rPr>
          <w:rFonts w:ascii="Times New Roman" w:hAnsi="Times New Roman" w:cs="Times New Roman"/>
          <w:b/>
        </w:rPr>
      </w:pPr>
    </w:p>
    <w:p w:rsidR="006121A2" w:rsidRDefault="006121A2" w:rsidP="00462060">
      <w:pPr>
        <w:pStyle w:val="Sinespaciado"/>
        <w:ind w:left="5387"/>
        <w:jc w:val="both"/>
        <w:rPr>
          <w:rFonts w:ascii="Times New Roman" w:hAnsi="Times New Roman" w:cs="Times New Roman"/>
          <w:b/>
        </w:rPr>
      </w:pPr>
    </w:p>
    <w:p w:rsidR="00032BDD" w:rsidRDefault="00032BDD" w:rsidP="00462060">
      <w:pPr>
        <w:pStyle w:val="Sinespaciado"/>
        <w:ind w:left="5387"/>
        <w:jc w:val="both"/>
        <w:rPr>
          <w:rFonts w:ascii="Times New Roman" w:hAnsi="Times New Roman" w:cs="Times New Roman"/>
          <w:b/>
        </w:rPr>
      </w:pPr>
    </w:p>
    <w:p w:rsidR="00032BDD" w:rsidRPr="00D22352" w:rsidRDefault="00032BDD" w:rsidP="00462060">
      <w:pPr>
        <w:pStyle w:val="Sinespaciado"/>
        <w:ind w:left="5387"/>
        <w:jc w:val="both"/>
        <w:rPr>
          <w:rFonts w:ascii="Times New Roman" w:hAnsi="Times New Roman" w:cs="Times New Roman"/>
          <w:b/>
        </w:rPr>
      </w:pPr>
    </w:p>
    <w:p w:rsidR="006121A2" w:rsidRPr="00D22352" w:rsidRDefault="006121A2" w:rsidP="00462060">
      <w:pPr>
        <w:pStyle w:val="Sinespaciado"/>
        <w:ind w:left="5387"/>
        <w:jc w:val="both"/>
        <w:rPr>
          <w:rFonts w:ascii="Times New Roman" w:hAnsi="Times New Roman" w:cs="Times New Roman"/>
          <w:b/>
        </w:rPr>
      </w:pPr>
    </w:p>
    <w:p w:rsidR="006121A2" w:rsidRDefault="00032BDD" w:rsidP="00032BDD">
      <w:pPr>
        <w:pStyle w:val="Sinespaciado"/>
        <w:jc w:val="center"/>
        <w:rPr>
          <w:rFonts w:ascii="Times New Roman" w:hAnsi="Times New Roman" w:cs="Times New Roman"/>
        </w:rPr>
      </w:pPr>
      <w:r>
        <w:rPr>
          <w:rFonts w:ascii="Times New Roman" w:hAnsi="Times New Roman" w:cs="Times New Roman"/>
        </w:rPr>
        <w:t>Oficio N° 603, de 25.02.2015</w:t>
      </w:r>
    </w:p>
    <w:p w:rsidR="00032BDD" w:rsidRDefault="00032BDD" w:rsidP="00032BDD">
      <w:pPr>
        <w:pStyle w:val="Sinespaciado"/>
        <w:jc w:val="center"/>
        <w:rPr>
          <w:rFonts w:ascii="Times New Roman" w:hAnsi="Times New Roman" w:cs="Times New Roman"/>
          <w:b/>
        </w:rPr>
      </w:pPr>
      <w:r>
        <w:rPr>
          <w:rFonts w:ascii="Times New Roman" w:hAnsi="Times New Roman" w:cs="Times New Roman"/>
          <w:b/>
        </w:rPr>
        <w:t>Subdirección Normativa</w:t>
      </w:r>
    </w:p>
    <w:p w:rsidR="00032BDD" w:rsidRPr="00032BDD" w:rsidRDefault="00032BDD" w:rsidP="00032BDD">
      <w:pPr>
        <w:pStyle w:val="Sinespaciado"/>
        <w:jc w:val="center"/>
        <w:rPr>
          <w:rFonts w:ascii="Times New Roman" w:hAnsi="Times New Roman" w:cs="Times New Roman"/>
        </w:rPr>
      </w:pPr>
      <w:r>
        <w:rPr>
          <w:rFonts w:ascii="Times New Roman" w:hAnsi="Times New Roman" w:cs="Times New Roman"/>
        </w:rPr>
        <w:t>Dpto. de Técnica Tributaria</w:t>
      </w:r>
    </w:p>
    <w:bookmarkEnd w:id="0"/>
    <w:p w:rsidR="00462060" w:rsidRPr="00D22352" w:rsidRDefault="00462060" w:rsidP="00462060">
      <w:pPr>
        <w:spacing w:after="0" w:line="240" w:lineRule="auto"/>
        <w:rPr>
          <w:rFonts w:ascii="Times New Roman" w:hAnsi="Times New Roman" w:cs="Times New Roman"/>
          <w:b/>
          <w:lang w:val="es-ES"/>
        </w:rPr>
      </w:pPr>
    </w:p>
    <w:p w:rsidR="00462060" w:rsidRPr="00D22352" w:rsidRDefault="00462060" w:rsidP="00462060">
      <w:pPr>
        <w:spacing w:after="0" w:line="240" w:lineRule="auto"/>
        <w:rPr>
          <w:rFonts w:ascii="Times New Roman" w:hAnsi="Times New Roman" w:cs="Times New Roman"/>
          <w:b/>
          <w:lang w:val="es-ES"/>
        </w:rPr>
      </w:pPr>
    </w:p>
    <w:p w:rsidR="00ED1BB0" w:rsidRPr="00D22352" w:rsidRDefault="00ED1BB0" w:rsidP="00462060">
      <w:pPr>
        <w:spacing w:after="0" w:line="240" w:lineRule="auto"/>
        <w:rPr>
          <w:rFonts w:ascii="Times New Roman" w:hAnsi="Times New Roman" w:cs="Times New Roman"/>
          <w:b/>
          <w:lang w:val="es-ES"/>
        </w:rPr>
      </w:pPr>
    </w:p>
    <w:p w:rsidR="00ED1BB0" w:rsidRPr="00D22352" w:rsidRDefault="00ED1BB0" w:rsidP="00462060">
      <w:pPr>
        <w:spacing w:after="0" w:line="240" w:lineRule="auto"/>
        <w:rPr>
          <w:rFonts w:ascii="Times New Roman" w:hAnsi="Times New Roman" w:cs="Times New Roman"/>
          <w:b/>
          <w:lang w:val="es-ES"/>
        </w:rPr>
      </w:pPr>
    </w:p>
    <w:sectPr w:rsidR="00ED1BB0" w:rsidRPr="00D22352" w:rsidSect="00D22352">
      <w:headerReference w:type="default" r:id="rId8"/>
      <w:headerReference w:type="first" r:id="rId9"/>
      <w:pgSz w:w="12242" w:h="18722" w:code="14"/>
      <w:pgMar w:top="1418" w:right="1752"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39" w:rsidRDefault="002C4F39" w:rsidP="006511BD">
      <w:pPr>
        <w:spacing w:after="0" w:line="240" w:lineRule="auto"/>
      </w:pPr>
      <w:r>
        <w:separator/>
      </w:r>
    </w:p>
  </w:endnote>
  <w:endnote w:type="continuationSeparator" w:id="0">
    <w:p w:rsidR="002C4F39" w:rsidRDefault="002C4F39" w:rsidP="0065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39" w:rsidRDefault="002C4F39" w:rsidP="006511BD">
      <w:pPr>
        <w:spacing w:after="0" w:line="240" w:lineRule="auto"/>
      </w:pPr>
      <w:r>
        <w:separator/>
      </w:r>
    </w:p>
  </w:footnote>
  <w:footnote w:type="continuationSeparator" w:id="0">
    <w:p w:rsidR="002C4F39" w:rsidRDefault="002C4F39" w:rsidP="00651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04" w:rsidRPr="00F44871" w:rsidRDefault="002C4F39">
    <w:pPr>
      <w:pStyle w:val="Encabezado"/>
      <w:jc w:val="center"/>
      <w:rPr>
        <w:rFonts w:ascii="Arial" w:hAnsi="Arial" w:cs="Arial"/>
        <w:sz w:val="16"/>
        <w:szCs w:val="16"/>
      </w:rPr>
    </w:pPr>
    <w:sdt>
      <w:sdtPr>
        <w:rPr>
          <w:sz w:val="16"/>
          <w:szCs w:val="16"/>
        </w:rPr>
        <w:id w:val="17212266"/>
        <w:docPartObj>
          <w:docPartGallery w:val="Page Numbers (Top of Page)"/>
          <w:docPartUnique/>
        </w:docPartObj>
      </w:sdtPr>
      <w:sdtEndPr>
        <w:rPr>
          <w:rFonts w:ascii="Arial" w:hAnsi="Arial" w:cs="Arial"/>
        </w:rPr>
      </w:sdtEndPr>
      <w:sdtContent>
        <w:r w:rsidR="00133085" w:rsidRPr="00F44871">
          <w:rPr>
            <w:rFonts w:ascii="Arial" w:hAnsi="Arial" w:cs="Arial"/>
            <w:sz w:val="16"/>
            <w:szCs w:val="16"/>
          </w:rPr>
          <w:fldChar w:fldCharType="begin"/>
        </w:r>
        <w:r w:rsidR="00CF0E04" w:rsidRPr="00F44871">
          <w:rPr>
            <w:rFonts w:ascii="Arial" w:hAnsi="Arial" w:cs="Arial"/>
            <w:sz w:val="16"/>
            <w:szCs w:val="16"/>
          </w:rPr>
          <w:instrText xml:space="preserve"> PAGE   \* MERGEFORMAT </w:instrText>
        </w:r>
        <w:r w:rsidR="00133085" w:rsidRPr="00F44871">
          <w:rPr>
            <w:rFonts w:ascii="Arial" w:hAnsi="Arial" w:cs="Arial"/>
            <w:sz w:val="16"/>
            <w:szCs w:val="16"/>
          </w:rPr>
          <w:fldChar w:fldCharType="separate"/>
        </w:r>
        <w:r w:rsidR="001B2CAE">
          <w:rPr>
            <w:rFonts w:ascii="Arial" w:hAnsi="Arial" w:cs="Arial"/>
            <w:noProof/>
            <w:sz w:val="16"/>
            <w:szCs w:val="16"/>
          </w:rPr>
          <w:t>2</w:t>
        </w:r>
        <w:r w:rsidR="00133085" w:rsidRPr="00F44871">
          <w:rPr>
            <w:rFonts w:ascii="Arial" w:hAnsi="Arial" w:cs="Arial"/>
            <w:sz w:val="16"/>
            <w:szCs w:val="16"/>
          </w:rPr>
          <w:fldChar w:fldCharType="end"/>
        </w:r>
      </w:sdtContent>
    </w:sdt>
  </w:p>
  <w:p w:rsidR="00CF0E04" w:rsidRPr="00F44871" w:rsidRDefault="00CF0E04">
    <w:pPr>
      <w:pStyle w:val="Encabezad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A0" w:rsidRDefault="004603A0">
    <w:pPr>
      <w:pStyle w:val="Encabezado"/>
      <w:jc w:val="center"/>
    </w:pPr>
  </w:p>
  <w:p w:rsidR="004603A0" w:rsidRDefault="004603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2E1"/>
    <w:multiLevelType w:val="hybridMultilevel"/>
    <w:tmpl w:val="1B18E8E6"/>
    <w:lvl w:ilvl="0" w:tplc="AF887D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580ABD"/>
    <w:multiLevelType w:val="hybridMultilevel"/>
    <w:tmpl w:val="D820E0D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E9E7377"/>
    <w:multiLevelType w:val="hybridMultilevel"/>
    <w:tmpl w:val="8DE288C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0385B34"/>
    <w:multiLevelType w:val="hybridMultilevel"/>
    <w:tmpl w:val="245AE0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252D54"/>
    <w:multiLevelType w:val="hybridMultilevel"/>
    <w:tmpl w:val="FCD4EA54"/>
    <w:lvl w:ilvl="0" w:tplc="36D4EDD4">
      <w:start w:val="1"/>
      <w:numFmt w:val="lowerRoman"/>
      <w:lvlText w:val="%1)"/>
      <w:lvlJc w:val="left"/>
      <w:pPr>
        <w:ind w:left="1080" w:hanging="72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8AE7CAD"/>
    <w:multiLevelType w:val="hybridMultilevel"/>
    <w:tmpl w:val="26D8B93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B40232E"/>
    <w:multiLevelType w:val="hybridMultilevel"/>
    <w:tmpl w:val="DA7423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C7D19E2"/>
    <w:multiLevelType w:val="hybridMultilevel"/>
    <w:tmpl w:val="33DCE1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5329D8"/>
    <w:multiLevelType w:val="hybridMultilevel"/>
    <w:tmpl w:val="8AB829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EB536AA"/>
    <w:multiLevelType w:val="hybridMultilevel"/>
    <w:tmpl w:val="04069D3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0662BFF"/>
    <w:multiLevelType w:val="hybridMultilevel"/>
    <w:tmpl w:val="B9D22978"/>
    <w:lvl w:ilvl="0" w:tplc="F650FA38">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AC5CA9"/>
    <w:multiLevelType w:val="hybridMultilevel"/>
    <w:tmpl w:val="6FEE860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7D377AF"/>
    <w:multiLevelType w:val="hybridMultilevel"/>
    <w:tmpl w:val="247AB22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28771140"/>
    <w:multiLevelType w:val="hybridMultilevel"/>
    <w:tmpl w:val="2C90EC7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36202A66"/>
    <w:multiLevelType w:val="hybridMultilevel"/>
    <w:tmpl w:val="705846EA"/>
    <w:lvl w:ilvl="0" w:tplc="D9E82C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9FA5C77"/>
    <w:multiLevelType w:val="hybridMultilevel"/>
    <w:tmpl w:val="A4C4984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40CA43F7"/>
    <w:multiLevelType w:val="hybridMultilevel"/>
    <w:tmpl w:val="1B6C891E"/>
    <w:lvl w:ilvl="0" w:tplc="12ACA5A4">
      <w:start w:val="33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19F3A49"/>
    <w:multiLevelType w:val="hybridMultilevel"/>
    <w:tmpl w:val="BA748A9E"/>
    <w:lvl w:ilvl="0" w:tplc="7F1611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AB65C94"/>
    <w:multiLevelType w:val="hybridMultilevel"/>
    <w:tmpl w:val="6FEE860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4C4F452A"/>
    <w:multiLevelType w:val="hybridMultilevel"/>
    <w:tmpl w:val="26D8B93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516E2AF8"/>
    <w:multiLevelType w:val="hybridMultilevel"/>
    <w:tmpl w:val="96887B1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56E84E7D"/>
    <w:multiLevelType w:val="hybridMultilevel"/>
    <w:tmpl w:val="DBBC4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9E74117"/>
    <w:multiLevelType w:val="hybridMultilevel"/>
    <w:tmpl w:val="953EFE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A7A3455"/>
    <w:multiLevelType w:val="hybridMultilevel"/>
    <w:tmpl w:val="5BFA117A"/>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B6458FE"/>
    <w:multiLevelType w:val="hybridMultilevel"/>
    <w:tmpl w:val="B12C7D76"/>
    <w:lvl w:ilvl="0" w:tplc="1954291E">
      <w:start w:val="9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3161DCB"/>
    <w:multiLevelType w:val="hybridMultilevel"/>
    <w:tmpl w:val="4B347FB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697740BC"/>
    <w:multiLevelType w:val="hybridMultilevel"/>
    <w:tmpl w:val="41ACD798"/>
    <w:lvl w:ilvl="0" w:tplc="53CAC258">
      <w:start w:val="33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3DD44C3"/>
    <w:multiLevelType w:val="hybridMultilevel"/>
    <w:tmpl w:val="848695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DAF017E"/>
    <w:multiLevelType w:val="hybridMultilevel"/>
    <w:tmpl w:val="8786866C"/>
    <w:lvl w:ilvl="0" w:tplc="4E70708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24"/>
  </w:num>
  <w:num w:numId="3">
    <w:abstractNumId w:val="0"/>
  </w:num>
  <w:num w:numId="4">
    <w:abstractNumId w:val="9"/>
  </w:num>
  <w:num w:numId="5">
    <w:abstractNumId w:val="7"/>
  </w:num>
  <w:num w:numId="6">
    <w:abstractNumId w:val="22"/>
  </w:num>
  <w:num w:numId="7">
    <w:abstractNumId w:val="16"/>
  </w:num>
  <w:num w:numId="8">
    <w:abstractNumId w:val="26"/>
  </w:num>
  <w:num w:numId="9">
    <w:abstractNumId w:val="28"/>
  </w:num>
  <w:num w:numId="10">
    <w:abstractNumId w:val="27"/>
  </w:num>
  <w:num w:numId="11">
    <w:abstractNumId w:val="23"/>
  </w:num>
  <w:num w:numId="12">
    <w:abstractNumId w:val="6"/>
  </w:num>
  <w:num w:numId="13">
    <w:abstractNumId w:val="21"/>
  </w:num>
  <w:num w:numId="14">
    <w:abstractNumId w:val="14"/>
  </w:num>
  <w:num w:numId="15">
    <w:abstractNumId w:val="11"/>
  </w:num>
  <w:num w:numId="16">
    <w:abstractNumId w:val="18"/>
  </w:num>
  <w:num w:numId="17">
    <w:abstractNumId w:val="19"/>
  </w:num>
  <w:num w:numId="18">
    <w:abstractNumId w:val="8"/>
  </w:num>
  <w:num w:numId="19">
    <w:abstractNumId w:val="1"/>
  </w:num>
  <w:num w:numId="20">
    <w:abstractNumId w:val="5"/>
  </w:num>
  <w:num w:numId="21">
    <w:abstractNumId w:val="2"/>
  </w:num>
  <w:num w:numId="22">
    <w:abstractNumId w:val="10"/>
  </w:num>
  <w:num w:numId="23">
    <w:abstractNumId w:val="15"/>
  </w:num>
  <w:num w:numId="24">
    <w:abstractNumId w:val="20"/>
  </w:num>
  <w:num w:numId="25">
    <w:abstractNumId w:val="12"/>
  </w:num>
  <w:num w:numId="26">
    <w:abstractNumId w:val="13"/>
  </w:num>
  <w:num w:numId="27">
    <w:abstractNumId w:val="3"/>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6E"/>
    <w:rsid w:val="000017BB"/>
    <w:rsid w:val="00002B36"/>
    <w:rsid w:val="00003327"/>
    <w:rsid w:val="00004BE8"/>
    <w:rsid w:val="00004FB5"/>
    <w:rsid w:val="0002506C"/>
    <w:rsid w:val="00026C3B"/>
    <w:rsid w:val="0003029A"/>
    <w:rsid w:val="00032BDD"/>
    <w:rsid w:val="00035416"/>
    <w:rsid w:val="0003623E"/>
    <w:rsid w:val="00036FFD"/>
    <w:rsid w:val="00037C47"/>
    <w:rsid w:val="000441C8"/>
    <w:rsid w:val="00051F5D"/>
    <w:rsid w:val="000526FD"/>
    <w:rsid w:val="00053A37"/>
    <w:rsid w:val="0006440D"/>
    <w:rsid w:val="0007205F"/>
    <w:rsid w:val="000733C4"/>
    <w:rsid w:val="00073F84"/>
    <w:rsid w:val="000805BD"/>
    <w:rsid w:val="00083A99"/>
    <w:rsid w:val="00083F3F"/>
    <w:rsid w:val="0008460C"/>
    <w:rsid w:val="00092787"/>
    <w:rsid w:val="00097CD3"/>
    <w:rsid w:val="000A10FC"/>
    <w:rsid w:val="000B0573"/>
    <w:rsid w:val="000B53FF"/>
    <w:rsid w:val="000C5A50"/>
    <w:rsid w:val="000D07F6"/>
    <w:rsid w:val="000D6BD1"/>
    <w:rsid w:val="000E2CDA"/>
    <w:rsid w:val="000E6BB2"/>
    <w:rsid w:val="000E6E88"/>
    <w:rsid w:val="000F2817"/>
    <w:rsid w:val="000F678E"/>
    <w:rsid w:val="000F7E91"/>
    <w:rsid w:val="00105AFB"/>
    <w:rsid w:val="00117523"/>
    <w:rsid w:val="00120EDE"/>
    <w:rsid w:val="00121DCC"/>
    <w:rsid w:val="00124F6B"/>
    <w:rsid w:val="00130947"/>
    <w:rsid w:val="00133085"/>
    <w:rsid w:val="00136176"/>
    <w:rsid w:val="001368C0"/>
    <w:rsid w:val="00146EB6"/>
    <w:rsid w:val="00151B3F"/>
    <w:rsid w:val="001537CB"/>
    <w:rsid w:val="001538C5"/>
    <w:rsid w:val="00153D94"/>
    <w:rsid w:val="00155D4E"/>
    <w:rsid w:val="001602C9"/>
    <w:rsid w:val="00161031"/>
    <w:rsid w:val="0017149A"/>
    <w:rsid w:val="00171C9D"/>
    <w:rsid w:val="00174F1C"/>
    <w:rsid w:val="00176F4B"/>
    <w:rsid w:val="00177AFC"/>
    <w:rsid w:val="00177B1B"/>
    <w:rsid w:val="00182C82"/>
    <w:rsid w:val="00184E82"/>
    <w:rsid w:val="001854FF"/>
    <w:rsid w:val="001865E3"/>
    <w:rsid w:val="0019497B"/>
    <w:rsid w:val="00195976"/>
    <w:rsid w:val="001A3776"/>
    <w:rsid w:val="001A405F"/>
    <w:rsid w:val="001A57C7"/>
    <w:rsid w:val="001A6301"/>
    <w:rsid w:val="001B2CAE"/>
    <w:rsid w:val="001B3716"/>
    <w:rsid w:val="001B447F"/>
    <w:rsid w:val="001C37C4"/>
    <w:rsid w:val="001C42AD"/>
    <w:rsid w:val="001D29EC"/>
    <w:rsid w:val="001E1A0D"/>
    <w:rsid w:val="001E2727"/>
    <w:rsid w:val="001E3650"/>
    <w:rsid w:val="001E4C35"/>
    <w:rsid w:val="001F3DCB"/>
    <w:rsid w:val="001F5654"/>
    <w:rsid w:val="00205D8C"/>
    <w:rsid w:val="0020678A"/>
    <w:rsid w:val="002070E4"/>
    <w:rsid w:val="0021679B"/>
    <w:rsid w:val="0023124F"/>
    <w:rsid w:val="00234193"/>
    <w:rsid w:val="0024264A"/>
    <w:rsid w:val="00247B33"/>
    <w:rsid w:val="00255211"/>
    <w:rsid w:val="00260A1C"/>
    <w:rsid w:val="00260E2D"/>
    <w:rsid w:val="0026128F"/>
    <w:rsid w:val="00263102"/>
    <w:rsid w:val="002675E6"/>
    <w:rsid w:val="002708E8"/>
    <w:rsid w:val="002739EF"/>
    <w:rsid w:val="002769A5"/>
    <w:rsid w:val="002904BC"/>
    <w:rsid w:val="00291A6B"/>
    <w:rsid w:val="00295057"/>
    <w:rsid w:val="00296D6E"/>
    <w:rsid w:val="002972DF"/>
    <w:rsid w:val="002A228B"/>
    <w:rsid w:val="002A574E"/>
    <w:rsid w:val="002A7C90"/>
    <w:rsid w:val="002B0245"/>
    <w:rsid w:val="002B446C"/>
    <w:rsid w:val="002C408F"/>
    <w:rsid w:val="002C45E6"/>
    <w:rsid w:val="002C4F39"/>
    <w:rsid w:val="002E1E7A"/>
    <w:rsid w:val="002E6082"/>
    <w:rsid w:val="002F1B5F"/>
    <w:rsid w:val="002F1F3B"/>
    <w:rsid w:val="002F36CA"/>
    <w:rsid w:val="00300EF6"/>
    <w:rsid w:val="00304349"/>
    <w:rsid w:val="00304459"/>
    <w:rsid w:val="0030490F"/>
    <w:rsid w:val="00305775"/>
    <w:rsid w:val="0031593F"/>
    <w:rsid w:val="00320E10"/>
    <w:rsid w:val="003361CE"/>
    <w:rsid w:val="00341B8A"/>
    <w:rsid w:val="00344633"/>
    <w:rsid w:val="0034546C"/>
    <w:rsid w:val="00345FA7"/>
    <w:rsid w:val="003463F9"/>
    <w:rsid w:val="003524BF"/>
    <w:rsid w:val="00357914"/>
    <w:rsid w:val="00357EB0"/>
    <w:rsid w:val="00357EE8"/>
    <w:rsid w:val="00360894"/>
    <w:rsid w:val="003639F0"/>
    <w:rsid w:val="00371F9E"/>
    <w:rsid w:val="003751EE"/>
    <w:rsid w:val="003770D3"/>
    <w:rsid w:val="00377335"/>
    <w:rsid w:val="00382A38"/>
    <w:rsid w:val="00384225"/>
    <w:rsid w:val="00385FB9"/>
    <w:rsid w:val="003867F3"/>
    <w:rsid w:val="00393B73"/>
    <w:rsid w:val="00396987"/>
    <w:rsid w:val="003A3A89"/>
    <w:rsid w:val="003A6342"/>
    <w:rsid w:val="003B1064"/>
    <w:rsid w:val="003B677F"/>
    <w:rsid w:val="003C4251"/>
    <w:rsid w:val="003D0621"/>
    <w:rsid w:val="003D4FC4"/>
    <w:rsid w:val="003D58F6"/>
    <w:rsid w:val="003E58C7"/>
    <w:rsid w:val="003E5DD2"/>
    <w:rsid w:val="003F1CEF"/>
    <w:rsid w:val="003F5616"/>
    <w:rsid w:val="003F6693"/>
    <w:rsid w:val="00400177"/>
    <w:rsid w:val="00401A07"/>
    <w:rsid w:val="00402D73"/>
    <w:rsid w:val="004043D6"/>
    <w:rsid w:val="004100F8"/>
    <w:rsid w:val="0041044E"/>
    <w:rsid w:val="00410C50"/>
    <w:rsid w:val="00416456"/>
    <w:rsid w:val="00417B27"/>
    <w:rsid w:val="00421E40"/>
    <w:rsid w:val="004222A7"/>
    <w:rsid w:val="00423A12"/>
    <w:rsid w:val="00425994"/>
    <w:rsid w:val="004269AF"/>
    <w:rsid w:val="00434238"/>
    <w:rsid w:val="0043661A"/>
    <w:rsid w:val="004368AB"/>
    <w:rsid w:val="00440E16"/>
    <w:rsid w:val="00442118"/>
    <w:rsid w:val="00446CC9"/>
    <w:rsid w:val="004515EE"/>
    <w:rsid w:val="004540AD"/>
    <w:rsid w:val="004602DE"/>
    <w:rsid w:val="004603A0"/>
    <w:rsid w:val="00460FE6"/>
    <w:rsid w:val="00462060"/>
    <w:rsid w:val="004706F3"/>
    <w:rsid w:val="0047405E"/>
    <w:rsid w:val="00480284"/>
    <w:rsid w:val="0048303A"/>
    <w:rsid w:val="0048440E"/>
    <w:rsid w:val="00487EEB"/>
    <w:rsid w:val="004909FE"/>
    <w:rsid w:val="004923CB"/>
    <w:rsid w:val="004A71EB"/>
    <w:rsid w:val="004B21C5"/>
    <w:rsid w:val="004B548A"/>
    <w:rsid w:val="004C377E"/>
    <w:rsid w:val="004C510C"/>
    <w:rsid w:val="004C555A"/>
    <w:rsid w:val="004C66F2"/>
    <w:rsid w:val="004D1029"/>
    <w:rsid w:val="004D5EAF"/>
    <w:rsid w:val="004D771C"/>
    <w:rsid w:val="004E7014"/>
    <w:rsid w:val="004F08B5"/>
    <w:rsid w:val="004F496C"/>
    <w:rsid w:val="004F5133"/>
    <w:rsid w:val="004F6A03"/>
    <w:rsid w:val="00501FBE"/>
    <w:rsid w:val="00502396"/>
    <w:rsid w:val="00505CB8"/>
    <w:rsid w:val="00511085"/>
    <w:rsid w:val="0051494E"/>
    <w:rsid w:val="0052025C"/>
    <w:rsid w:val="0052134A"/>
    <w:rsid w:val="005268AA"/>
    <w:rsid w:val="00532FFA"/>
    <w:rsid w:val="00533FCA"/>
    <w:rsid w:val="00534E42"/>
    <w:rsid w:val="00535D65"/>
    <w:rsid w:val="0053658E"/>
    <w:rsid w:val="00537062"/>
    <w:rsid w:val="00545A94"/>
    <w:rsid w:val="00545F3E"/>
    <w:rsid w:val="00547BA5"/>
    <w:rsid w:val="00552689"/>
    <w:rsid w:val="00554030"/>
    <w:rsid w:val="00556146"/>
    <w:rsid w:val="00556B9D"/>
    <w:rsid w:val="00556E5F"/>
    <w:rsid w:val="00557B97"/>
    <w:rsid w:val="00560ACA"/>
    <w:rsid w:val="00562F28"/>
    <w:rsid w:val="0056378D"/>
    <w:rsid w:val="00565471"/>
    <w:rsid w:val="00566F18"/>
    <w:rsid w:val="005679C2"/>
    <w:rsid w:val="00577505"/>
    <w:rsid w:val="00582735"/>
    <w:rsid w:val="005832EA"/>
    <w:rsid w:val="005930C7"/>
    <w:rsid w:val="00595138"/>
    <w:rsid w:val="00596616"/>
    <w:rsid w:val="005A0DD4"/>
    <w:rsid w:val="005A2801"/>
    <w:rsid w:val="005A6030"/>
    <w:rsid w:val="005A7085"/>
    <w:rsid w:val="005B0B86"/>
    <w:rsid w:val="005B17CB"/>
    <w:rsid w:val="005B1EB3"/>
    <w:rsid w:val="005B5B1E"/>
    <w:rsid w:val="005C00F3"/>
    <w:rsid w:val="005C69B5"/>
    <w:rsid w:val="005D0825"/>
    <w:rsid w:val="005D0E1A"/>
    <w:rsid w:val="005D512D"/>
    <w:rsid w:val="005E122A"/>
    <w:rsid w:val="005E29EC"/>
    <w:rsid w:val="005E2D9B"/>
    <w:rsid w:val="005E5C1B"/>
    <w:rsid w:val="005E7BFD"/>
    <w:rsid w:val="005F0646"/>
    <w:rsid w:val="005F292E"/>
    <w:rsid w:val="005F33AA"/>
    <w:rsid w:val="005F6FF8"/>
    <w:rsid w:val="00601754"/>
    <w:rsid w:val="0060505C"/>
    <w:rsid w:val="006074B6"/>
    <w:rsid w:val="00611AD6"/>
    <w:rsid w:val="006121A2"/>
    <w:rsid w:val="00626351"/>
    <w:rsid w:val="00626C3D"/>
    <w:rsid w:val="00631311"/>
    <w:rsid w:val="00642A4F"/>
    <w:rsid w:val="00647546"/>
    <w:rsid w:val="006511BD"/>
    <w:rsid w:val="00652CB4"/>
    <w:rsid w:val="006614F4"/>
    <w:rsid w:val="00665363"/>
    <w:rsid w:val="0066574C"/>
    <w:rsid w:val="006677E0"/>
    <w:rsid w:val="00672B33"/>
    <w:rsid w:val="00673780"/>
    <w:rsid w:val="006737B1"/>
    <w:rsid w:val="00676771"/>
    <w:rsid w:val="00677B85"/>
    <w:rsid w:val="00685899"/>
    <w:rsid w:val="00691C23"/>
    <w:rsid w:val="00692622"/>
    <w:rsid w:val="0069590C"/>
    <w:rsid w:val="006A1E9E"/>
    <w:rsid w:val="006A5107"/>
    <w:rsid w:val="006A6EFA"/>
    <w:rsid w:val="006B0468"/>
    <w:rsid w:val="006B0495"/>
    <w:rsid w:val="006B05BD"/>
    <w:rsid w:val="006B3921"/>
    <w:rsid w:val="006B6591"/>
    <w:rsid w:val="006C1BA9"/>
    <w:rsid w:val="006C2045"/>
    <w:rsid w:val="006C3B18"/>
    <w:rsid w:val="006C4037"/>
    <w:rsid w:val="006D3F72"/>
    <w:rsid w:val="006D4193"/>
    <w:rsid w:val="006E343D"/>
    <w:rsid w:val="006E550D"/>
    <w:rsid w:val="006E58B4"/>
    <w:rsid w:val="006F0F22"/>
    <w:rsid w:val="006F5F61"/>
    <w:rsid w:val="00700235"/>
    <w:rsid w:val="0070389A"/>
    <w:rsid w:val="007053FB"/>
    <w:rsid w:val="00705CB4"/>
    <w:rsid w:val="0071360E"/>
    <w:rsid w:val="00714466"/>
    <w:rsid w:val="00715E61"/>
    <w:rsid w:val="00720D29"/>
    <w:rsid w:val="00722EA0"/>
    <w:rsid w:val="00723265"/>
    <w:rsid w:val="00727850"/>
    <w:rsid w:val="00727A76"/>
    <w:rsid w:val="00730FD3"/>
    <w:rsid w:val="00731A47"/>
    <w:rsid w:val="0073237B"/>
    <w:rsid w:val="007361EF"/>
    <w:rsid w:val="00741490"/>
    <w:rsid w:val="00742373"/>
    <w:rsid w:val="00744159"/>
    <w:rsid w:val="007623EC"/>
    <w:rsid w:val="00763DB8"/>
    <w:rsid w:val="007714D2"/>
    <w:rsid w:val="00774032"/>
    <w:rsid w:val="00777EE6"/>
    <w:rsid w:val="00781647"/>
    <w:rsid w:val="00782074"/>
    <w:rsid w:val="00782FA0"/>
    <w:rsid w:val="007833DF"/>
    <w:rsid w:val="007847D1"/>
    <w:rsid w:val="00786210"/>
    <w:rsid w:val="00792874"/>
    <w:rsid w:val="007951D6"/>
    <w:rsid w:val="007A626F"/>
    <w:rsid w:val="007A67C7"/>
    <w:rsid w:val="007A6D66"/>
    <w:rsid w:val="007B0108"/>
    <w:rsid w:val="007B0141"/>
    <w:rsid w:val="007C4527"/>
    <w:rsid w:val="007C4774"/>
    <w:rsid w:val="007C7309"/>
    <w:rsid w:val="007D33C2"/>
    <w:rsid w:val="007D3D3B"/>
    <w:rsid w:val="007D524A"/>
    <w:rsid w:val="007E1CF3"/>
    <w:rsid w:val="007E2301"/>
    <w:rsid w:val="007E5BFF"/>
    <w:rsid w:val="007F29BC"/>
    <w:rsid w:val="007F376F"/>
    <w:rsid w:val="007F3E36"/>
    <w:rsid w:val="007F5095"/>
    <w:rsid w:val="007F5B7D"/>
    <w:rsid w:val="00800F42"/>
    <w:rsid w:val="00805327"/>
    <w:rsid w:val="00805903"/>
    <w:rsid w:val="00806BF7"/>
    <w:rsid w:val="00810E66"/>
    <w:rsid w:val="00814576"/>
    <w:rsid w:val="008153DE"/>
    <w:rsid w:val="00815848"/>
    <w:rsid w:val="00821DC5"/>
    <w:rsid w:val="00821EBC"/>
    <w:rsid w:val="0082293B"/>
    <w:rsid w:val="00832006"/>
    <w:rsid w:val="0083438D"/>
    <w:rsid w:val="00835066"/>
    <w:rsid w:val="0084173F"/>
    <w:rsid w:val="008462A4"/>
    <w:rsid w:val="00853E67"/>
    <w:rsid w:val="008549FA"/>
    <w:rsid w:val="008551A6"/>
    <w:rsid w:val="00856C15"/>
    <w:rsid w:val="00865776"/>
    <w:rsid w:val="0088239F"/>
    <w:rsid w:val="00882CDA"/>
    <w:rsid w:val="00886CA7"/>
    <w:rsid w:val="008A1451"/>
    <w:rsid w:val="008B2C5B"/>
    <w:rsid w:val="008B3CE1"/>
    <w:rsid w:val="008B7BAF"/>
    <w:rsid w:val="008C0856"/>
    <w:rsid w:val="008C088C"/>
    <w:rsid w:val="008C1D5A"/>
    <w:rsid w:val="008C4280"/>
    <w:rsid w:val="008C6C82"/>
    <w:rsid w:val="008D17AA"/>
    <w:rsid w:val="008D205E"/>
    <w:rsid w:val="008E0B71"/>
    <w:rsid w:val="008E555E"/>
    <w:rsid w:val="008E5E60"/>
    <w:rsid w:val="008E6142"/>
    <w:rsid w:val="008E636C"/>
    <w:rsid w:val="008F29C8"/>
    <w:rsid w:val="009008B9"/>
    <w:rsid w:val="00902361"/>
    <w:rsid w:val="009028A5"/>
    <w:rsid w:val="00903C9F"/>
    <w:rsid w:val="00905304"/>
    <w:rsid w:val="00907244"/>
    <w:rsid w:val="009217AF"/>
    <w:rsid w:val="009229C8"/>
    <w:rsid w:val="0092395E"/>
    <w:rsid w:val="009255F5"/>
    <w:rsid w:val="0092641D"/>
    <w:rsid w:val="00927A0C"/>
    <w:rsid w:val="009339E1"/>
    <w:rsid w:val="009423BC"/>
    <w:rsid w:val="00944589"/>
    <w:rsid w:val="00947C2E"/>
    <w:rsid w:val="0095185D"/>
    <w:rsid w:val="00955BDF"/>
    <w:rsid w:val="00957426"/>
    <w:rsid w:val="00961062"/>
    <w:rsid w:val="00963975"/>
    <w:rsid w:val="00963A83"/>
    <w:rsid w:val="009671D0"/>
    <w:rsid w:val="00971F32"/>
    <w:rsid w:val="00972204"/>
    <w:rsid w:val="00976762"/>
    <w:rsid w:val="00980214"/>
    <w:rsid w:val="009829A5"/>
    <w:rsid w:val="00984A61"/>
    <w:rsid w:val="009879AE"/>
    <w:rsid w:val="009925B3"/>
    <w:rsid w:val="009A15D2"/>
    <w:rsid w:val="009A545D"/>
    <w:rsid w:val="009A7E28"/>
    <w:rsid w:val="009B734F"/>
    <w:rsid w:val="009B7450"/>
    <w:rsid w:val="009C0F73"/>
    <w:rsid w:val="009C17D9"/>
    <w:rsid w:val="009C2206"/>
    <w:rsid w:val="009C25B4"/>
    <w:rsid w:val="009C2D6A"/>
    <w:rsid w:val="009C6BFD"/>
    <w:rsid w:val="009D040C"/>
    <w:rsid w:val="009D2800"/>
    <w:rsid w:val="009D32E8"/>
    <w:rsid w:val="009E0A82"/>
    <w:rsid w:val="009E512D"/>
    <w:rsid w:val="009F0A51"/>
    <w:rsid w:val="009F163F"/>
    <w:rsid w:val="009F3CE8"/>
    <w:rsid w:val="009F4586"/>
    <w:rsid w:val="009F4EFE"/>
    <w:rsid w:val="009F762B"/>
    <w:rsid w:val="00A056B5"/>
    <w:rsid w:val="00A06D26"/>
    <w:rsid w:val="00A1720A"/>
    <w:rsid w:val="00A24423"/>
    <w:rsid w:val="00A26AD6"/>
    <w:rsid w:val="00A27E30"/>
    <w:rsid w:val="00A30B44"/>
    <w:rsid w:val="00A31118"/>
    <w:rsid w:val="00A31CE2"/>
    <w:rsid w:val="00A33A51"/>
    <w:rsid w:val="00A346C5"/>
    <w:rsid w:val="00A36D03"/>
    <w:rsid w:val="00A37939"/>
    <w:rsid w:val="00A436FF"/>
    <w:rsid w:val="00A44EC7"/>
    <w:rsid w:val="00A47E81"/>
    <w:rsid w:val="00A548BA"/>
    <w:rsid w:val="00A5642D"/>
    <w:rsid w:val="00A632F6"/>
    <w:rsid w:val="00A64E6C"/>
    <w:rsid w:val="00A67AA4"/>
    <w:rsid w:val="00A80C39"/>
    <w:rsid w:val="00A875CC"/>
    <w:rsid w:val="00A90771"/>
    <w:rsid w:val="00A91AEE"/>
    <w:rsid w:val="00A955EC"/>
    <w:rsid w:val="00AA298F"/>
    <w:rsid w:val="00AA593F"/>
    <w:rsid w:val="00AB0CE1"/>
    <w:rsid w:val="00AB61B5"/>
    <w:rsid w:val="00AB75EB"/>
    <w:rsid w:val="00AD4C11"/>
    <w:rsid w:val="00AE0232"/>
    <w:rsid w:val="00AE0823"/>
    <w:rsid w:val="00AE10F2"/>
    <w:rsid w:val="00AE7C90"/>
    <w:rsid w:val="00AF0BC4"/>
    <w:rsid w:val="00AF6C57"/>
    <w:rsid w:val="00AF73E5"/>
    <w:rsid w:val="00B148AD"/>
    <w:rsid w:val="00B17F94"/>
    <w:rsid w:val="00B21CF3"/>
    <w:rsid w:val="00B2404A"/>
    <w:rsid w:val="00B33F94"/>
    <w:rsid w:val="00B45610"/>
    <w:rsid w:val="00B46633"/>
    <w:rsid w:val="00B468AA"/>
    <w:rsid w:val="00B56C9C"/>
    <w:rsid w:val="00B57446"/>
    <w:rsid w:val="00B578E7"/>
    <w:rsid w:val="00B62651"/>
    <w:rsid w:val="00B62E03"/>
    <w:rsid w:val="00B710DF"/>
    <w:rsid w:val="00B7182F"/>
    <w:rsid w:val="00B8428D"/>
    <w:rsid w:val="00B84814"/>
    <w:rsid w:val="00B961FF"/>
    <w:rsid w:val="00BA6EC8"/>
    <w:rsid w:val="00BB0F3D"/>
    <w:rsid w:val="00BB3568"/>
    <w:rsid w:val="00BB5DAE"/>
    <w:rsid w:val="00BC13C9"/>
    <w:rsid w:val="00BC42A5"/>
    <w:rsid w:val="00BC4F28"/>
    <w:rsid w:val="00BD2AB2"/>
    <w:rsid w:val="00BD4D1C"/>
    <w:rsid w:val="00BE0627"/>
    <w:rsid w:val="00BE1A69"/>
    <w:rsid w:val="00BE1C77"/>
    <w:rsid w:val="00BE333B"/>
    <w:rsid w:val="00BE3DE6"/>
    <w:rsid w:val="00BE73A4"/>
    <w:rsid w:val="00BF0FC5"/>
    <w:rsid w:val="00BF3EAF"/>
    <w:rsid w:val="00C0238E"/>
    <w:rsid w:val="00C0574F"/>
    <w:rsid w:val="00C157D2"/>
    <w:rsid w:val="00C200B5"/>
    <w:rsid w:val="00C32AFE"/>
    <w:rsid w:val="00C35E5A"/>
    <w:rsid w:val="00C403D9"/>
    <w:rsid w:val="00C40AB8"/>
    <w:rsid w:val="00C41CCD"/>
    <w:rsid w:val="00C42059"/>
    <w:rsid w:val="00C4609C"/>
    <w:rsid w:val="00C465E4"/>
    <w:rsid w:val="00C56167"/>
    <w:rsid w:val="00C61D37"/>
    <w:rsid w:val="00C62E2A"/>
    <w:rsid w:val="00C63D22"/>
    <w:rsid w:val="00C65E7E"/>
    <w:rsid w:val="00C7235A"/>
    <w:rsid w:val="00C7651A"/>
    <w:rsid w:val="00C83BEE"/>
    <w:rsid w:val="00C84BCB"/>
    <w:rsid w:val="00C84D13"/>
    <w:rsid w:val="00C966F4"/>
    <w:rsid w:val="00CA0E17"/>
    <w:rsid w:val="00CA2210"/>
    <w:rsid w:val="00CA30AD"/>
    <w:rsid w:val="00CA54C7"/>
    <w:rsid w:val="00CB0740"/>
    <w:rsid w:val="00CB712D"/>
    <w:rsid w:val="00CC01DA"/>
    <w:rsid w:val="00CC25F0"/>
    <w:rsid w:val="00CC5702"/>
    <w:rsid w:val="00CC6D77"/>
    <w:rsid w:val="00CD2C69"/>
    <w:rsid w:val="00CD673B"/>
    <w:rsid w:val="00CD7189"/>
    <w:rsid w:val="00CE0614"/>
    <w:rsid w:val="00CE1FEB"/>
    <w:rsid w:val="00CE7330"/>
    <w:rsid w:val="00CF0E04"/>
    <w:rsid w:val="00CF1440"/>
    <w:rsid w:val="00CF1C85"/>
    <w:rsid w:val="00CF497A"/>
    <w:rsid w:val="00D06635"/>
    <w:rsid w:val="00D157C2"/>
    <w:rsid w:val="00D16291"/>
    <w:rsid w:val="00D22352"/>
    <w:rsid w:val="00D23421"/>
    <w:rsid w:val="00D31F24"/>
    <w:rsid w:val="00D3523F"/>
    <w:rsid w:val="00D365F7"/>
    <w:rsid w:val="00D3754B"/>
    <w:rsid w:val="00D37D91"/>
    <w:rsid w:val="00D43514"/>
    <w:rsid w:val="00D501DA"/>
    <w:rsid w:val="00D5240F"/>
    <w:rsid w:val="00D53DEF"/>
    <w:rsid w:val="00D555FC"/>
    <w:rsid w:val="00D56998"/>
    <w:rsid w:val="00D6001A"/>
    <w:rsid w:val="00D6083D"/>
    <w:rsid w:val="00D6622A"/>
    <w:rsid w:val="00D67562"/>
    <w:rsid w:val="00D716D6"/>
    <w:rsid w:val="00D7195E"/>
    <w:rsid w:val="00D73F19"/>
    <w:rsid w:val="00D74124"/>
    <w:rsid w:val="00D83B36"/>
    <w:rsid w:val="00D8775E"/>
    <w:rsid w:val="00D9380B"/>
    <w:rsid w:val="00DA04C5"/>
    <w:rsid w:val="00DA316A"/>
    <w:rsid w:val="00DB0D6B"/>
    <w:rsid w:val="00DB1E4A"/>
    <w:rsid w:val="00DB3282"/>
    <w:rsid w:val="00DB3C56"/>
    <w:rsid w:val="00DB3D9A"/>
    <w:rsid w:val="00DB456F"/>
    <w:rsid w:val="00DB6982"/>
    <w:rsid w:val="00DC0ACF"/>
    <w:rsid w:val="00DC207E"/>
    <w:rsid w:val="00DD3C2F"/>
    <w:rsid w:val="00DE7092"/>
    <w:rsid w:val="00DF1C34"/>
    <w:rsid w:val="00DF431A"/>
    <w:rsid w:val="00DF73AE"/>
    <w:rsid w:val="00E06B04"/>
    <w:rsid w:val="00E06E3F"/>
    <w:rsid w:val="00E124F2"/>
    <w:rsid w:val="00E128B8"/>
    <w:rsid w:val="00E1313C"/>
    <w:rsid w:val="00E203F5"/>
    <w:rsid w:val="00E21998"/>
    <w:rsid w:val="00E22533"/>
    <w:rsid w:val="00E232CD"/>
    <w:rsid w:val="00E25254"/>
    <w:rsid w:val="00E2659C"/>
    <w:rsid w:val="00E272B4"/>
    <w:rsid w:val="00E334F1"/>
    <w:rsid w:val="00E34841"/>
    <w:rsid w:val="00E400CD"/>
    <w:rsid w:val="00E47095"/>
    <w:rsid w:val="00E502C6"/>
    <w:rsid w:val="00E50B7A"/>
    <w:rsid w:val="00E55A7C"/>
    <w:rsid w:val="00E55DF2"/>
    <w:rsid w:val="00E64D79"/>
    <w:rsid w:val="00E67B09"/>
    <w:rsid w:val="00E721BE"/>
    <w:rsid w:val="00E73AD8"/>
    <w:rsid w:val="00E75784"/>
    <w:rsid w:val="00E84CA6"/>
    <w:rsid w:val="00E87413"/>
    <w:rsid w:val="00E900B1"/>
    <w:rsid w:val="00E90F55"/>
    <w:rsid w:val="00E951D7"/>
    <w:rsid w:val="00E975A5"/>
    <w:rsid w:val="00EA4432"/>
    <w:rsid w:val="00EA75B8"/>
    <w:rsid w:val="00EB2007"/>
    <w:rsid w:val="00EB27BF"/>
    <w:rsid w:val="00EB443C"/>
    <w:rsid w:val="00EB4FEE"/>
    <w:rsid w:val="00EB6DA9"/>
    <w:rsid w:val="00ED1064"/>
    <w:rsid w:val="00ED1400"/>
    <w:rsid w:val="00ED1BB0"/>
    <w:rsid w:val="00ED720F"/>
    <w:rsid w:val="00ED7525"/>
    <w:rsid w:val="00EE0C56"/>
    <w:rsid w:val="00EE1649"/>
    <w:rsid w:val="00EE24C0"/>
    <w:rsid w:val="00EE2791"/>
    <w:rsid w:val="00EF0FAF"/>
    <w:rsid w:val="00EF283E"/>
    <w:rsid w:val="00EF4B05"/>
    <w:rsid w:val="00EF614F"/>
    <w:rsid w:val="00EF7563"/>
    <w:rsid w:val="00F0556F"/>
    <w:rsid w:val="00F07B78"/>
    <w:rsid w:val="00F11622"/>
    <w:rsid w:val="00F13E96"/>
    <w:rsid w:val="00F14917"/>
    <w:rsid w:val="00F2092F"/>
    <w:rsid w:val="00F272EA"/>
    <w:rsid w:val="00F30908"/>
    <w:rsid w:val="00F31D9C"/>
    <w:rsid w:val="00F3535D"/>
    <w:rsid w:val="00F36C6E"/>
    <w:rsid w:val="00F4327A"/>
    <w:rsid w:val="00F43A2C"/>
    <w:rsid w:val="00F44871"/>
    <w:rsid w:val="00F50DF4"/>
    <w:rsid w:val="00F524F8"/>
    <w:rsid w:val="00F52B49"/>
    <w:rsid w:val="00F53A07"/>
    <w:rsid w:val="00F5450E"/>
    <w:rsid w:val="00F5493A"/>
    <w:rsid w:val="00F567A3"/>
    <w:rsid w:val="00F6111E"/>
    <w:rsid w:val="00F6450F"/>
    <w:rsid w:val="00F64D83"/>
    <w:rsid w:val="00F727B3"/>
    <w:rsid w:val="00F80350"/>
    <w:rsid w:val="00F80942"/>
    <w:rsid w:val="00F84E53"/>
    <w:rsid w:val="00F864AD"/>
    <w:rsid w:val="00F9276C"/>
    <w:rsid w:val="00F95238"/>
    <w:rsid w:val="00F95BA3"/>
    <w:rsid w:val="00FA2E0B"/>
    <w:rsid w:val="00FA4123"/>
    <w:rsid w:val="00FA6440"/>
    <w:rsid w:val="00FA6540"/>
    <w:rsid w:val="00FC44D1"/>
    <w:rsid w:val="00FC65B1"/>
    <w:rsid w:val="00FC74C8"/>
    <w:rsid w:val="00FD4B0F"/>
    <w:rsid w:val="00FE17A4"/>
    <w:rsid w:val="00FE1944"/>
    <w:rsid w:val="00FE196A"/>
    <w:rsid w:val="00FE4431"/>
    <w:rsid w:val="00FE53D0"/>
    <w:rsid w:val="00FF4634"/>
    <w:rsid w:val="00FF511D"/>
    <w:rsid w:val="00FF62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8BDC2-4643-4558-B1CD-A3508172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96D6E"/>
    <w:pPr>
      <w:ind w:left="720"/>
      <w:contextualSpacing/>
    </w:pPr>
  </w:style>
  <w:style w:type="paragraph" w:styleId="Textonotapie">
    <w:name w:val="footnote text"/>
    <w:basedOn w:val="Normal"/>
    <w:link w:val="TextonotapieCar"/>
    <w:unhideWhenUsed/>
    <w:rsid w:val="006511BD"/>
    <w:pPr>
      <w:spacing w:after="0" w:line="240" w:lineRule="auto"/>
    </w:pPr>
    <w:rPr>
      <w:sz w:val="20"/>
      <w:szCs w:val="20"/>
    </w:rPr>
  </w:style>
  <w:style w:type="character" w:customStyle="1" w:styleId="TextonotapieCar">
    <w:name w:val="Texto nota pie Car"/>
    <w:basedOn w:val="Fuentedeprrafopredeter"/>
    <w:link w:val="Textonotapie"/>
    <w:rsid w:val="006511BD"/>
    <w:rPr>
      <w:sz w:val="20"/>
      <w:szCs w:val="20"/>
    </w:rPr>
  </w:style>
  <w:style w:type="character" w:styleId="Refdenotaalpie">
    <w:name w:val="footnote reference"/>
    <w:basedOn w:val="Fuentedeprrafopredeter"/>
    <w:uiPriority w:val="99"/>
    <w:unhideWhenUsed/>
    <w:rsid w:val="006511BD"/>
    <w:rPr>
      <w:vertAlign w:val="superscript"/>
    </w:rPr>
  </w:style>
  <w:style w:type="paragraph" w:styleId="Sinespaciado">
    <w:name w:val="No Spacing"/>
    <w:uiPriority w:val="1"/>
    <w:qFormat/>
    <w:rsid w:val="007A6D66"/>
    <w:pPr>
      <w:spacing w:after="0" w:line="240" w:lineRule="auto"/>
    </w:pPr>
  </w:style>
  <w:style w:type="paragraph" w:styleId="NormalWeb">
    <w:name w:val="Normal (Web)"/>
    <w:basedOn w:val="Normal"/>
    <w:uiPriority w:val="99"/>
    <w:semiHidden/>
    <w:unhideWhenUsed/>
    <w:rsid w:val="00D3523F"/>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7F376F"/>
    <w:rPr>
      <w:sz w:val="16"/>
      <w:szCs w:val="16"/>
    </w:rPr>
  </w:style>
  <w:style w:type="paragraph" w:styleId="Textocomentario">
    <w:name w:val="annotation text"/>
    <w:basedOn w:val="Normal"/>
    <w:link w:val="TextocomentarioCar"/>
    <w:uiPriority w:val="99"/>
    <w:semiHidden/>
    <w:unhideWhenUsed/>
    <w:rsid w:val="007F37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376F"/>
    <w:rPr>
      <w:sz w:val="20"/>
      <w:szCs w:val="20"/>
    </w:rPr>
  </w:style>
  <w:style w:type="paragraph" w:styleId="Asuntodelcomentario">
    <w:name w:val="annotation subject"/>
    <w:basedOn w:val="Textocomentario"/>
    <w:next w:val="Textocomentario"/>
    <w:link w:val="AsuntodelcomentarioCar"/>
    <w:uiPriority w:val="99"/>
    <w:semiHidden/>
    <w:unhideWhenUsed/>
    <w:rsid w:val="007F376F"/>
    <w:rPr>
      <w:b/>
      <w:bCs/>
    </w:rPr>
  </w:style>
  <w:style w:type="character" w:customStyle="1" w:styleId="AsuntodelcomentarioCar">
    <w:name w:val="Asunto del comentario Car"/>
    <w:basedOn w:val="TextocomentarioCar"/>
    <w:link w:val="Asuntodelcomentario"/>
    <w:uiPriority w:val="99"/>
    <w:semiHidden/>
    <w:rsid w:val="007F376F"/>
    <w:rPr>
      <w:b/>
      <w:bCs/>
      <w:sz w:val="20"/>
      <w:szCs w:val="20"/>
    </w:rPr>
  </w:style>
  <w:style w:type="paragraph" w:styleId="Textodeglobo">
    <w:name w:val="Balloon Text"/>
    <w:basedOn w:val="Normal"/>
    <w:link w:val="TextodegloboCar"/>
    <w:uiPriority w:val="99"/>
    <w:semiHidden/>
    <w:unhideWhenUsed/>
    <w:rsid w:val="007F37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76F"/>
    <w:rPr>
      <w:rFonts w:ascii="Tahoma" w:hAnsi="Tahoma" w:cs="Tahoma"/>
      <w:sz w:val="16"/>
      <w:szCs w:val="16"/>
    </w:rPr>
  </w:style>
  <w:style w:type="paragraph" w:styleId="Encabezado">
    <w:name w:val="header"/>
    <w:basedOn w:val="Normal"/>
    <w:link w:val="EncabezadoCar"/>
    <w:uiPriority w:val="99"/>
    <w:unhideWhenUsed/>
    <w:rsid w:val="00CF0E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04"/>
  </w:style>
  <w:style w:type="paragraph" w:styleId="Piedepgina">
    <w:name w:val="footer"/>
    <w:basedOn w:val="Normal"/>
    <w:link w:val="PiedepginaCar"/>
    <w:uiPriority w:val="99"/>
    <w:unhideWhenUsed/>
    <w:rsid w:val="00CF0E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04"/>
  </w:style>
  <w:style w:type="table" w:styleId="Tablaconcuadrcula">
    <w:name w:val="Table Grid"/>
    <w:basedOn w:val="Tablanormal"/>
    <w:uiPriority w:val="59"/>
    <w:rsid w:val="009E5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13E96"/>
    <w:pPr>
      <w:spacing w:after="0" w:line="240" w:lineRule="auto"/>
    </w:pPr>
    <w:rPr>
      <w:rFonts w:ascii="Consolas" w:eastAsia="Calibri" w:hAnsi="Consolas" w:cs="Times New Roman"/>
      <w:sz w:val="20"/>
      <w:szCs w:val="20"/>
    </w:rPr>
  </w:style>
  <w:style w:type="character" w:customStyle="1" w:styleId="HTMLconformatoprevioCar">
    <w:name w:val="HTML con formato previo Car"/>
    <w:basedOn w:val="Fuentedeprrafopredeter"/>
    <w:link w:val="HTMLconformatoprevio"/>
    <w:uiPriority w:val="99"/>
    <w:rsid w:val="00F13E96"/>
    <w:rPr>
      <w:rFonts w:ascii="Consolas" w:eastAsia="Calibri" w:hAnsi="Consolas" w:cs="Times New Roman"/>
      <w:sz w:val="20"/>
      <w:szCs w:val="20"/>
    </w:rPr>
  </w:style>
  <w:style w:type="character" w:customStyle="1" w:styleId="apple-converted-space">
    <w:name w:val="apple-converted-space"/>
    <w:basedOn w:val="Fuentedeprrafopredeter"/>
    <w:rsid w:val="002C408F"/>
  </w:style>
  <w:style w:type="character" w:customStyle="1" w:styleId="searchterm">
    <w:name w:val="searchterm"/>
    <w:basedOn w:val="Fuentedeprrafopredeter"/>
    <w:rsid w:val="002C408F"/>
  </w:style>
  <w:style w:type="paragraph" w:styleId="Textoindependiente">
    <w:name w:val="Body Text"/>
    <w:basedOn w:val="Normal"/>
    <w:link w:val="TextoindependienteCar"/>
    <w:semiHidden/>
    <w:rsid w:val="003D58F6"/>
    <w:pPr>
      <w:spacing w:after="0" w:line="240" w:lineRule="auto"/>
    </w:pPr>
    <w:rPr>
      <w:rFonts w:ascii="Arial" w:eastAsia="Times New Roman" w:hAnsi="Arial" w:cs="Times New Roman"/>
      <w:b/>
      <w:sz w:val="14"/>
      <w:szCs w:val="20"/>
      <w:lang w:val="es-ES_tradnl" w:eastAsia="es-ES"/>
    </w:rPr>
  </w:style>
  <w:style w:type="character" w:customStyle="1" w:styleId="TextoindependienteCar">
    <w:name w:val="Texto independiente Car"/>
    <w:basedOn w:val="Fuentedeprrafopredeter"/>
    <w:link w:val="Textoindependiente"/>
    <w:semiHidden/>
    <w:rsid w:val="003D58F6"/>
    <w:rPr>
      <w:rFonts w:ascii="Arial" w:eastAsia="Times New Roman" w:hAnsi="Arial" w:cs="Times New Roman"/>
      <w:b/>
      <w:sz w:val="1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78435">
      <w:bodyDiv w:val="1"/>
      <w:marLeft w:val="0"/>
      <w:marRight w:val="0"/>
      <w:marTop w:val="0"/>
      <w:marBottom w:val="0"/>
      <w:divBdr>
        <w:top w:val="none" w:sz="0" w:space="0" w:color="auto"/>
        <w:left w:val="none" w:sz="0" w:space="0" w:color="auto"/>
        <w:bottom w:val="none" w:sz="0" w:space="0" w:color="auto"/>
        <w:right w:val="none" w:sz="0" w:space="0" w:color="auto"/>
      </w:divBdr>
    </w:div>
    <w:div w:id="596135000">
      <w:bodyDiv w:val="1"/>
      <w:marLeft w:val="0"/>
      <w:marRight w:val="0"/>
      <w:marTop w:val="0"/>
      <w:marBottom w:val="0"/>
      <w:divBdr>
        <w:top w:val="none" w:sz="0" w:space="0" w:color="auto"/>
        <w:left w:val="none" w:sz="0" w:space="0" w:color="auto"/>
        <w:bottom w:val="none" w:sz="0" w:space="0" w:color="auto"/>
        <w:right w:val="none" w:sz="0" w:space="0" w:color="auto"/>
      </w:divBdr>
      <w:divsChild>
        <w:div w:id="896820582">
          <w:marLeft w:val="0"/>
          <w:marRight w:val="0"/>
          <w:marTop w:val="0"/>
          <w:marBottom w:val="0"/>
          <w:divBdr>
            <w:top w:val="none" w:sz="0" w:space="0" w:color="auto"/>
            <w:left w:val="none" w:sz="0" w:space="0" w:color="auto"/>
            <w:bottom w:val="none" w:sz="0" w:space="0" w:color="auto"/>
            <w:right w:val="none" w:sz="0" w:space="0" w:color="auto"/>
          </w:divBdr>
          <w:divsChild>
            <w:div w:id="1700426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6770816">
      <w:bodyDiv w:val="1"/>
      <w:marLeft w:val="150"/>
      <w:marRight w:val="150"/>
      <w:marTop w:val="0"/>
      <w:marBottom w:val="0"/>
      <w:divBdr>
        <w:top w:val="none" w:sz="0" w:space="0" w:color="auto"/>
        <w:left w:val="none" w:sz="0" w:space="0" w:color="auto"/>
        <w:bottom w:val="none" w:sz="0" w:space="0" w:color="auto"/>
        <w:right w:val="none" w:sz="0" w:space="0" w:color="auto"/>
      </w:divBdr>
      <w:divsChild>
        <w:div w:id="859009228">
          <w:marLeft w:val="0"/>
          <w:marRight w:val="0"/>
          <w:marTop w:val="0"/>
          <w:marBottom w:val="0"/>
          <w:divBdr>
            <w:top w:val="none" w:sz="0" w:space="0" w:color="auto"/>
            <w:left w:val="none" w:sz="0" w:space="0" w:color="auto"/>
            <w:bottom w:val="none" w:sz="0" w:space="0" w:color="auto"/>
            <w:right w:val="none" w:sz="0" w:space="0" w:color="auto"/>
          </w:divBdr>
        </w:div>
        <w:div w:id="1708143291">
          <w:marLeft w:val="0"/>
          <w:marRight w:val="0"/>
          <w:marTop w:val="0"/>
          <w:marBottom w:val="0"/>
          <w:divBdr>
            <w:top w:val="none" w:sz="0" w:space="0" w:color="auto"/>
            <w:left w:val="none" w:sz="0" w:space="0" w:color="auto"/>
            <w:bottom w:val="none" w:sz="0" w:space="0" w:color="auto"/>
            <w:right w:val="none" w:sz="0" w:space="0" w:color="auto"/>
          </w:divBdr>
        </w:div>
      </w:divsChild>
    </w:div>
    <w:div w:id="1494954694">
      <w:bodyDiv w:val="1"/>
      <w:marLeft w:val="150"/>
      <w:marRight w:val="150"/>
      <w:marTop w:val="0"/>
      <w:marBottom w:val="0"/>
      <w:divBdr>
        <w:top w:val="none" w:sz="0" w:space="0" w:color="auto"/>
        <w:left w:val="none" w:sz="0" w:space="0" w:color="auto"/>
        <w:bottom w:val="none" w:sz="0" w:space="0" w:color="auto"/>
        <w:right w:val="none" w:sz="0" w:space="0" w:color="auto"/>
      </w:divBdr>
      <w:divsChild>
        <w:div w:id="1457404238">
          <w:marLeft w:val="0"/>
          <w:marRight w:val="0"/>
          <w:marTop w:val="0"/>
          <w:marBottom w:val="0"/>
          <w:divBdr>
            <w:top w:val="none" w:sz="0" w:space="0" w:color="auto"/>
            <w:left w:val="none" w:sz="0" w:space="0" w:color="auto"/>
            <w:bottom w:val="none" w:sz="0" w:space="0" w:color="auto"/>
            <w:right w:val="none" w:sz="0" w:space="0" w:color="auto"/>
          </w:divBdr>
        </w:div>
        <w:div w:id="1908418758">
          <w:marLeft w:val="0"/>
          <w:marRight w:val="0"/>
          <w:marTop w:val="0"/>
          <w:marBottom w:val="0"/>
          <w:divBdr>
            <w:top w:val="none" w:sz="0" w:space="0" w:color="auto"/>
            <w:left w:val="none" w:sz="0" w:space="0" w:color="auto"/>
            <w:bottom w:val="none" w:sz="0" w:space="0" w:color="auto"/>
            <w:right w:val="none" w:sz="0" w:space="0" w:color="auto"/>
          </w:divBdr>
        </w:div>
      </w:divsChild>
    </w:div>
    <w:div w:id="1931547979">
      <w:bodyDiv w:val="1"/>
      <w:marLeft w:val="0"/>
      <w:marRight w:val="0"/>
      <w:marTop w:val="0"/>
      <w:marBottom w:val="0"/>
      <w:divBdr>
        <w:top w:val="none" w:sz="0" w:space="0" w:color="auto"/>
        <w:left w:val="none" w:sz="0" w:space="0" w:color="auto"/>
        <w:bottom w:val="none" w:sz="0" w:space="0" w:color="auto"/>
        <w:right w:val="none" w:sz="0" w:space="0" w:color="auto"/>
      </w:divBdr>
    </w:div>
    <w:div w:id="2086217704">
      <w:bodyDiv w:val="1"/>
      <w:marLeft w:val="150"/>
      <w:marRight w:val="150"/>
      <w:marTop w:val="0"/>
      <w:marBottom w:val="0"/>
      <w:divBdr>
        <w:top w:val="none" w:sz="0" w:space="0" w:color="auto"/>
        <w:left w:val="none" w:sz="0" w:space="0" w:color="auto"/>
        <w:bottom w:val="none" w:sz="0" w:space="0" w:color="auto"/>
        <w:right w:val="none" w:sz="0" w:space="0" w:color="auto"/>
      </w:divBdr>
      <w:divsChild>
        <w:div w:id="1928417405">
          <w:marLeft w:val="0"/>
          <w:marRight w:val="0"/>
          <w:marTop w:val="0"/>
          <w:marBottom w:val="0"/>
          <w:divBdr>
            <w:top w:val="none" w:sz="0" w:space="0" w:color="auto"/>
            <w:left w:val="none" w:sz="0" w:space="0" w:color="auto"/>
            <w:bottom w:val="none" w:sz="0" w:space="0" w:color="auto"/>
            <w:right w:val="none" w:sz="0" w:space="0" w:color="auto"/>
          </w:divBdr>
        </w:div>
        <w:div w:id="194676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8FE8-6CC0-483F-BE01-5519B861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1066</Words>
  <Characters>5868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SoporteSII</dc:creator>
  <cp:keywords/>
  <dc:description/>
  <cp:lastModifiedBy>Maria Paz Borquez Riquelme</cp:lastModifiedBy>
  <cp:revision>6</cp:revision>
  <cp:lastPrinted>2015-02-23T13:35:00Z</cp:lastPrinted>
  <dcterms:created xsi:type="dcterms:W3CDTF">2015-02-27T18:11:00Z</dcterms:created>
  <dcterms:modified xsi:type="dcterms:W3CDTF">2015-03-03T20:10:00Z</dcterms:modified>
</cp:coreProperties>
</file>