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42" w:rsidRDefault="004B4B42" w:rsidP="004B4B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B4B42">
        <w:rPr>
          <w:rFonts w:ascii="Times New Roman" w:hAnsi="Times New Roman" w:cs="Times New Roman"/>
          <w:b/>
          <w:bCs/>
        </w:rPr>
        <w:t>RENTA – ACTUAL LEY SOBRE IMPUESTO A LA – DECRETO LEY N° 1089, DE 1975 – DECRETO CON FUERZA DE LEY N°2, DE 1986, ART. 5, ART. 12 – CIRCULAR N° 14, DE 2016. (ORD. N° 2478, DE 05.09.2016)</w:t>
      </w:r>
    </w:p>
    <w:p w:rsidR="004B4B42" w:rsidRPr="004B4B42" w:rsidRDefault="004B4B42" w:rsidP="004B4B42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72021A" w:rsidRPr="006C2D9E" w:rsidRDefault="00421559" w:rsidP="001C09B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2D9E">
        <w:rPr>
          <w:rFonts w:ascii="Times New Roman" w:hAnsi="Times New Roman" w:cs="Times New Roman"/>
          <w:b/>
        </w:rPr>
        <w:t xml:space="preserve">Situación de </w:t>
      </w:r>
      <w:r w:rsidR="0083229F" w:rsidRPr="006C2D9E">
        <w:rPr>
          <w:rFonts w:ascii="Times New Roman" w:hAnsi="Times New Roman" w:cs="Times New Roman"/>
          <w:b/>
        </w:rPr>
        <w:t xml:space="preserve">contratos especiales de operación para la exploración y explotación de yacimientos de hidrocarburos, </w:t>
      </w:r>
      <w:r w:rsidR="00724B99" w:rsidRPr="006C2D9E">
        <w:rPr>
          <w:rFonts w:ascii="Times New Roman" w:hAnsi="Times New Roman" w:cs="Times New Roman"/>
          <w:b/>
        </w:rPr>
        <w:t>frente a la reforma tributaria</w:t>
      </w:r>
      <w:r w:rsidRPr="006C2D9E">
        <w:rPr>
          <w:rFonts w:ascii="Times New Roman" w:hAnsi="Times New Roman" w:cs="Times New Roman"/>
          <w:b/>
        </w:rPr>
        <w:t>.</w:t>
      </w:r>
    </w:p>
    <w:p w:rsidR="00525470" w:rsidRPr="001C45DB" w:rsidRDefault="00BB11AB" w:rsidP="00724B9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1C45DB">
        <w:rPr>
          <w:rFonts w:ascii="Times New Roman" w:hAnsi="Times New Roman" w:cs="Times New Roman"/>
          <w:b/>
        </w:rPr>
        <w:tab/>
        <w:t xml:space="preserve"> </w:t>
      </w:r>
    </w:p>
    <w:p w:rsidR="005C36D8" w:rsidRPr="001C45DB" w:rsidRDefault="00724B99" w:rsidP="00724B99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Se ha recibido en este Servicio la presentación indicada en el antecedente, solicitando </w:t>
      </w:r>
      <w:r w:rsidR="00DB7271" w:rsidRPr="001C45DB">
        <w:rPr>
          <w:rFonts w:ascii="Times New Roman" w:hAnsi="Times New Roman" w:cs="Times New Roman"/>
        </w:rPr>
        <w:t xml:space="preserve">un pronunciamiento respecto de la situación tributaria </w:t>
      </w:r>
      <w:r w:rsidR="00DE0A06" w:rsidRPr="001C45DB">
        <w:rPr>
          <w:rFonts w:ascii="Times New Roman" w:hAnsi="Times New Roman" w:cs="Times New Roman"/>
        </w:rPr>
        <w:t xml:space="preserve">de </w:t>
      </w:r>
      <w:r w:rsidR="0083229F" w:rsidRPr="001C45DB">
        <w:rPr>
          <w:rFonts w:ascii="Times New Roman" w:hAnsi="Times New Roman" w:cs="Times New Roman"/>
        </w:rPr>
        <w:t xml:space="preserve">los contratos especiales de operación para la exploración y explotación de yacimientos de hidrocarburos </w:t>
      </w:r>
      <w:r w:rsidR="00CD6BB4" w:rsidRPr="001C45DB">
        <w:rPr>
          <w:rFonts w:ascii="Times New Roman" w:hAnsi="Times New Roman" w:cs="Times New Roman"/>
        </w:rPr>
        <w:t>que acompaña</w:t>
      </w:r>
      <w:r w:rsidR="0083229F" w:rsidRPr="001C45DB">
        <w:rPr>
          <w:rFonts w:ascii="Times New Roman" w:hAnsi="Times New Roman" w:cs="Times New Roman"/>
        </w:rPr>
        <w:t xml:space="preserve">, </w:t>
      </w:r>
      <w:r w:rsidRPr="001C45DB">
        <w:rPr>
          <w:rFonts w:ascii="Times New Roman" w:hAnsi="Times New Roman" w:cs="Times New Roman"/>
        </w:rPr>
        <w:t xml:space="preserve">frente </w:t>
      </w:r>
      <w:r w:rsidR="0083229F" w:rsidRPr="001C45DB">
        <w:rPr>
          <w:rFonts w:ascii="Times New Roman" w:hAnsi="Times New Roman" w:cs="Times New Roman"/>
        </w:rPr>
        <w:t>a</w:t>
      </w:r>
      <w:r w:rsidRPr="001C45DB">
        <w:rPr>
          <w:rFonts w:ascii="Times New Roman" w:hAnsi="Times New Roman" w:cs="Times New Roman"/>
        </w:rPr>
        <w:t xml:space="preserve"> las modificaciones introducidas por la Ley N° 20.780, sobre reforma tributaria. </w:t>
      </w:r>
      <w:r w:rsidR="00DB7271" w:rsidRPr="001C45DB">
        <w:rPr>
          <w:rFonts w:ascii="Times New Roman" w:hAnsi="Times New Roman" w:cs="Times New Roman"/>
        </w:rPr>
        <w:t xml:space="preserve"> </w:t>
      </w:r>
    </w:p>
    <w:p w:rsidR="00724B99" w:rsidRPr="001C45DB" w:rsidRDefault="00724B99" w:rsidP="00724B9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45DB">
        <w:rPr>
          <w:rFonts w:ascii="Times New Roman" w:hAnsi="Times New Roman" w:cs="Times New Roman"/>
          <w:b/>
        </w:rPr>
        <w:t>I</w:t>
      </w:r>
      <w:r w:rsidRPr="001C45DB">
        <w:rPr>
          <w:rFonts w:ascii="Times New Roman" w:hAnsi="Times New Roman" w:cs="Times New Roman"/>
          <w:b/>
        </w:rPr>
        <w:tab/>
      </w:r>
      <w:r w:rsidR="003F5F84" w:rsidRPr="001C45DB">
        <w:rPr>
          <w:rFonts w:ascii="Times New Roman" w:hAnsi="Times New Roman" w:cs="Times New Roman"/>
          <w:b/>
        </w:rPr>
        <w:t>ANTECEDENTES</w:t>
      </w:r>
    </w:p>
    <w:p w:rsidR="00724B99" w:rsidRPr="001C45DB" w:rsidRDefault="00724B99" w:rsidP="0056242B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Tras exponer antecedentes relativos a la estructura societaria y </w:t>
      </w:r>
      <w:r w:rsidR="0083229F" w:rsidRPr="001C45DB">
        <w:rPr>
          <w:rFonts w:ascii="Times New Roman" w:hAnsi="Times New Roman" w:cs="Times New Roman"/>
        </w:rPr>
        <w:t xml:space="preserve">normas </w:t>
      </w:r>
      <w:r w:rsidRPr="001C45DB">
        <w:rPr>
          <w:rFonts w:ascii="Times New Roman" w:hAnsi="Times New Roman" w:cs="Times New Roman"/>
        </w:rPr>
        <w:t xml:space="preserve">legales </w:t>
      </w:r>
      <w:r w:rsidR="0083229F" w:rsidRPr="001C45DB">
        <w:rPr>
          <w:rFonts w:ascii="Times New Roman" w:hAnsi="Times New Roman" w:cs="Times New Roman"/>
        </w:rPr>
        <w:t>aplicables a los contratos especiales de operación para la exploración y explotación de yacimientos de hidrocarburos</w:t>
      </w:r>
      <w:r w:rsidR="00EF13ED" w:rsidRPr="001C45DB">
        <w:rPr>
          <w:rFonts w:ascii="Times New Roman" w:hAnsi="Times New Roman" w:cs="Times New Roman"/>
        </w:rPr>
        <w:t xml:space="preserve"> (en adelante, los “contratos”)</w:t>
      </w:r>
      <w:r w:rsidRPr="001C45DB">
        <w:rPr>
          <w:rFonts w:ascii="Times New Roman" w:hAnsi="Times New Roman" w:cs="Times New Roman"/>
        </w:rPr>
        <w:t>, formula</w:t>
      </w:r>
      <w:r w:rsidR="0056242B" w:rsidRPr="001C45DB">
        <w:rPr>
          <w:rFonts w:ascii="Times New Roman" w:hAnsi="Times New Roman" w:cs="Times New Roman"/>
        </w:rPr>
        <w:t xml:space="preserve">, en lo fundamental, </w:t>
      </w:r>
      <w:r w:rsidR="00DE0A06" w:rsidRPr="001C45DB">
        <w:rPr>
          <w:rFonts w:ascii="Times New Roman" w:hAnsi="Times New Roman" w:cs="Times New Roman"/>
        </w:rPr>
        <w:t>las siguientes</w:t>
      </w:r>
      <w:r w:rsidRPr="001C45DB">
        <w:rPr>
          <w:rFonts w:ascii="Times New Roman" w:hAnsi="Times New Roman" w:cs="Times New Roman"/>
        </w:rPr>
        <w:t xml:space="preserve"> consultas relacionadas con los efectos que tendrían las modificaciones legales introducidas </w:t>
      </w:r>
      <w:r w:rsidR="0083229F" w:rsidRPr="001C45DB">
        <w:rPr>
          <w:rFonts w:ascii="Times New Roman" w:hAnsi="Times New Roman" w:cs="Times New Roman"/>
        </w:rPr>
        <w:t xml:space="preserve">a la Ley sobre Impuesto a la Renta </w:t>
      </w:r>
      <w:r w:rsidRPr="001C45DB">
        <w:rPr>
          <w:rFonts w:ascii="Times New Roman" w:hAnsi="Times New Roman" w:cs="Times New Roman"/>
        </w:rPr>
        <w:t xml:space="preserve">por la reciente reforma tributaria. </w:t>
      </w:r>
    </w:p>
    <w:p w:rsidR="0056242B" w:rsidRPr="001C45DB" w:rsidRDefault="00310DC3" w:rsidP="0056242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eastAsia="Times New Roman" w:hAnsi="Times New Roman" w:cs="Times New Roman"/>
          <w:lang w:eastAsia="es-CL"/>
        </w:rPr>
        <w:t>Invariabilidad de tasas y</w:t>
      </w:r>
      <w:r w:rsidR="00CB5D1D" w:rsidRPr="001C45DB">
        <w:rPr>
          <w:rFonts w:ascii="Times New Roman" w:eastAsia="Times New Roman" w:hAnsi="Times New Roman" w:cs="Times New Roman"/>
          <w:lang w:eastAsia="es-CL"/>
        </w:rPr>
        <w:t xml:space="preserve"> régimen tributario de contratos. </w:t>
      </w:r>
      <w:r w:rsidR="00E07D5B" w:rsidRPr="001C45DB">
        <w:rPr>
          <w:rFonts w:ascii="Times New Roman" w:eastAsia="Times New Roman" w:hAnsi="Times New Roman" w:cs="Times New Roman"/>
          <w:lang w:eastAsia="es-CL"/>
        </w:rPr>
        <w:t>S</w:t>
      </w:r>
      <w:r w:rsidR="00F523F6" w:rsidRPr="001C45DB">
        <w:rPr>
          <w:rFonts w:ascii="Times New Roman" w:eastAsia="Times New Roman" w:hAnsi="Times New Roman" w:cs="Times New Roman"/>
          <w:lang w:eastAsia="es-CL"/>
        </w:rPr>
        <w:t>e consulta por</w:t>
      </w:r>
      <w:r w:rsidR="001371D6" w:rsidRPr="001C45DB">
        <w:rPr>
          <w:rFonts w:ascii="Times New Roman" w:eastAsia="Times New Roman" w:hAnsi="Times New Roman" w:cs="Times New Roman"/>
          <w:lang w:eastAsia="es-CL"/>
        </w:rPr>
        <w:t xml:space="preserve"> </w:t>
      </w:r>
      <w:r w:rsidR="00F523F6" w:rsidRPr="001C45DB">
        <w:rPr>
          <w:rFonts w:ascii="Times New Roman" w:eastAsia="Times New Roman" w:hAnsi="Times New Roman" w:cs="Times New Roman"/>
          <w:lang w:eastAsia="es-CL"/>
        </w:rPr>
        <w:t>la situación tributaria</w:t>
      </w:r>
      <w:r w:rsidR="009E5C69" w:rsidRPr="001C45DB">
        <w:rPr>
          <w:rFonts w:ascii="Times New Roman" w:eastAsia="Times New Roman" w:hAnsi="Times New Roman" w:cs="Times New Roman"/>
          <w:lang w:eastAsia="es-CL"/>
        </w:rPr>
        <w:t xml:space="preserve"> de </w:t>
      </w:r>
      <w:r w:rsidR="0083229F" w:rsidRPr="001C45DB">
        <w:rPr>
          <w:rFonts w:ascii="Times New Roman" w:eastAsia="Times New Roman" w:hAnsi="Times New Roman" w:cs="Times New Roman"/>
          <w:lang w:eastAsia="es-CL"/>
        </w:rPr>
        <w:t xml:space="preserve">contratos </w:t>
      </w:r>
      <w:r w:rsidR="00F523F6" w:rsidRPr="001C45DB">
        <w:rPr>
          <w:rFonts w:ascii="Times New Roman" w:eastAsia="Times New Roman" w:hAnsi="Times New Roman" w:cs="Times New Roman"/>
          <w:lang w:eastAsia="es-CL"/>
        </w:rPr>
        <w:t>acogidos a lo dispuesto en</w:t>
      </w:r>
      <w:r w:rsidR="00B95582" w:rsidRPr="001C45DB">
        <w:rPr>
          <w:rFonts w:ascii="Times New Roman" w:eastAsia="Times New Roman" w:hAnsi="Times New Roman" w:cs="Times New Roman"/>
          <w:lang w:eastAsia="es-CL"/>
        </w:rPr>
        <w:t xml:space="preserve"> el</w:t>
      </w:r>
      <w:r w:rsidR="009E5C69" w:rsidRPr="001C45DB">
        <w:rPr>
          <w:rFonts w:ascii="Times New Roman" w:eastAsia="Times New Roman" w:hAnsi="Times New Roman" w:cs="Times New Roman"/>
          <w:lang w:eastAsia="es-CL"/>
        </w:rPr>
        <w:t xml:space="preserve"> </w:t>
      </w:r>
      <w:r w:rsidR="0084560C" w:rsidRPr="001C45DB">
        <w:rPr>
          <w:rFonts w:ascii="Times New Roman" w:eastAsia="Times New Roman" w:hAnsi="Times New Roman" w:cs="Times New Roman"/>
          <w:lang w:eastAsia="es-CL"/>
        </w:rPr>
        <w:t>decreto ley</w:t>
      </w:r>
      <w:r w:rsidR="00770528" w:rsidRPr="001C45DB">
        <w:rPr>
          <w:rFonts w:ascii="Times New Roman" w:eastAsia="Times New Roman" w:hAnsi="Times New Roman" w:cs="Times New Roman"/>
          <w:lang w:eastAsia="es-CL"/>
        </w:rPr>
        <w:t xml:space="preserve"> </w:t>
      </w:r>
      <w:r w:rsidR="009E5C69" w:rsidRPr="001C45DB">
        <w:rPr>
          <w:rFonts w:ascii="Times New Roman" w:eastAsia="Times New Roman" w:hAnsi="Times New Roman" w:cs="Times New Roman"/>
          <w:lang w:eastAsia="es-CL"/>
        </w:rPr>
        <w:t xml:space="preserve">N° </w:t>
      </w:r>
      <w:r w:rsidR="0084560C" w:rsidRPr="001C45DB">
        <w:rPr>
          <w:rFonts w:ascii="Times New Roman" w:eastAsia="Times New Roman" w:hAnsi="Times New Roman" w:cs="Times New Roman"/>
          <w:lang w:eastAsia="es-CL"/>
        </w:rPr>
        <w:t xml:space="preserve">1.089 de 1975 </w:t>
      </w:r>
      <w:r w:rsidR="007364A5" w:rsidRPr="001C45DB">
        <w:rPr>
          <w:rFonts w:ascii="Times New Roman" w:eastAsia="Times New Roman" w:hAnsi="Times New Roman" w:cs="Times New Roman"/>
          <w:lang w:eastAsia="es-CL"/>
        </w:rPr>
        <w:t>(</w:t>
      </w:r>
      <w:r w:rsidR="00021E69" w:rsidRPr="001C45DB">
        <w:rPr>
          <w:rFonts w:ascii="Times New Roman" w:eastAsia="Times New Roman" w:hAnsi="Times New Roman" w:cs="Times New Roman"/>
          <w:lang w:eastAsia="es-CL"/>
        </w:rPr>
        <w:t xml:space="preserve">según el texto </w:t>
      </w:r>
      <w:r w:rsidR="00F523F6" w:rsidRPr="001C45DB">
        <w:rPr>
          <w:rFonts w:ascii="Times New Roman" w:eastAsia="Times New Roman" w:hAnsi="Times New Roman" w:cs="Times New Roman"/>
          <w:lang w:eastAsia="es-CL"/>
        </w:rPr>
        <w:t xml:space="preserve">refundido, coordinado y sistematizado </w:t>
      </w:r>
      <w:r w:rsidR="00B95582" w:rsidRPr="001C45DB">
        <w:rPr>
          <w:rFonts w:ascii="Times New Roman" w:eastAsia="Times New Roman" w:hAnsi="Times New Roman" w:cs="Times New Roman"/>
          <w:lang w:eastAsia="es-CL"/>
        </w:rPr>
        <w:t xml:space="preserve">fijado por el </w:t>
      </w:r>
      <w:r w:rsidR="0084560C" w:rsidRPr="001C45DB">
        <w:rPr>
          <w:rFonts w:ascii="Times New Roman" w:eastAsia="Times New Roman" w:hAnsi="Times New Roman" w:cs="Times New Roman"/>
          <w:lang w:eastAsia="es-CL"/>
        </w:rPr>
        <w:t>decreto con fuerza de ley</w:t>
      </w:r>
      <w:r w:rsidR="00B95582" w:rsidRPr="001C45DB">
        <w:rPr>
          <w:rFonts w:ascii="Times New Roman" w:eastAsia="Times New Roman" w:hAnsi="Times New Roman" w:cs="Times New Roman"/>
          <w:lang w:eastAsia="es-CL"/>
        </w:rPr>
        <w:t xml:space="preserve"> N° 2, de 1986</w:t>
      </w:r>
      <w:r w:rsidR="007364A5" w:rsidRPr="001C45DB">
        <w:rPr>
          <w:rFonts w:ascii="Times New Roman" w:eastAsia="Times New Roman" w:hAnsi="Times New Roman" w:cs="Times New Roman"/>
          <w:lang w:eastAsia="es-CL"/>
        </w:rPr>
        <w:t>)</w:t>
      </w:r>
      <w:r w:rsidR="00B95582" w:rsidRPr="001C45DB">
        <w:rPr>
          <w:rFonts w:ascii="Times New Roman" w:eastAsia="Times New Roman" w:hAnsi="Times New Roman" w:cs="Times New Roman"/>
          <w:lang w:eastAsia="es-CL"/>
        </w:rPr>
        <w:t xml:space="preserve">, </w:t>
      </w:r>
      <w:r w:rsidR="009E5C69" w:rsidRPr="001C45DB">
        <w:rPr>
          <w:rFonts w:ascii="Times New Roman" w:eastAsia="Times New Roman" w:hAnsi="Times New Roman" w:cs="Times New Roman"/>
          <w:lang w:eastAsia="es-CL"/>
        </w:rPr>
        <w:t>suscritos antes de las modificaciones que la Ley N° 20.780, introdujo al texto de la Le</w:t>
      </w:r>
      <w:r w:rsidR="00C92DA0" w:rsidRPr="001C45DB">
        <w:rPr>
          <w:rFonts w:ascii="Times New Roman" w:eastAsia="Times New Roman" w:hAnsi="Times New Roman" w:cs="Times New Roman"/>
          <w:lang w:eastAsia="es-CL"/>
        </w:rPr>
        <w:t>y sobre Impuesto a la Renta.</w:t>
      </w:r>
    </w:p>
    <w:p w:rsidR="0056242B" w:rsidRPr="001C45DB" w:rsidRDefault="000C0641" w:rsidP="0056242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eastAsia="Times New Roman" w:hAnsi="Times New Roman" w:cs="Times New Roman"/>
          <w:lang w:eastAsia="es-CL"/>
        </w:rPr>
        <w:t>Distribución de utilidades desde las sociedades operativas sujetas a invariabilidad hasta las sociedades holding que no gozan de invariabilidad.</w:t>
      </w:r>
    </w:p>
    <w:p w:rsidR="00770528" w:rsidRPr="001C45DB" w:rsidRDefault="00770528" w:rsidP="0056242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eastAsia="Times New Roman" w:hAnsi="Times New Roman" w:cs="Times New Roman"/>
          <w:lang w:eastAsia="es-CL"/>
        </w:rPr>
        <w:t>P</w:t>
      </w:r>
      <w:r w:rsidR="00C65103" w:rsidRPr="001C45DB">
        <w:rPr>
          <w:rFonts w:ascii="Times New Roman" w:eastAsia="Times New Roman" w:hAnsi="Times New Roman" w:cs="Times New Roman"/>
          <w:lang w:eastAsia="es-CL"/>
        </w:rPr>
        <w:t>roblema</w:t>
      </w:r>
      <w:r w:rsidRPr="001C45DB">
        <w:rPr>
          <w:rFonts w:ascii="Times New Roman" w:eastAsia="Times New Roman" w:hAnsi="Times New Roman" w:cs="Times New Roman"/>
          <w:lang w:eastAsia="es-CL"/>
        </w:rPr>
        <w:t>s</w:t>
      </w:r>
      <w:r w:rsidR="00C65103" w:rsidRPr="001C45DB">
        <w:rPr>
          <w:rFonts w:ascii="Times New Roman" w:eastAsia="Times New Roman" w:hAnsi="Times New Roman" w:cs="Times New Roman"/>
          <w:lang w:eastAsia="es-CL"/>
        </w:rPr>
        <w:t xml:space="preserve"> </w:t>
      </w:r>
      <w:r w:rsidRPr="001C45DB">
        <w:rPr>
          <w:rFonts w:ascii="Times New Roman" w:eastAsia="Times New Roman" w:hAnsi="Times New Roman" w:cs="Times New Roman"/>
          <w:lang w:eastAsia="es-CL"/>
        </w:rPr>
        <w:t xml:space="preserve">para </w:t>
      </w:r>
      <w:r w:rsidR="00C65103" w:rsidRPr="001C45DB">
        <w:rPr>
          <w:rFonts w:ascii="Times New Roman" w:eastAsia="Times New Roman" w:hAnsi="Times New Roman" w:cs="Times New Roman"/>
          <w:lang w:eastAsia="es-CL"/>
        </w:rPr>
        <w:t>presenta</w:t>
      </w:r>
      <w:r w:rsidRPr="001C45DB">
        <w:rPr>
          <w:rFonts w:ascii="Times New Roman" w:eastAsia="Times New Roman" w:hAnsi="Times New Roman" w:cs="Times New Roman"/>
          <w:lang w:eastAsia="es-CL"/>
        </w:rPr>
        <w:t>r</w:t>
      </w:r>
      <w:r w:rsidR="00C65103" w:rsidRPr="001C45DB">
        <w:rPr>
          <w:rFonts w:ascii="Times New Roman" w:eastAsia="Times New Roman" w:hAnsi="Times New Roman" w:cs="Times New Roman"/>
          <w:lang w:eastAsia="es-CL"/>
        </w:rPr>
        <w:t xml:space="preserve"> la declaración de impuesto a la renta </w:t>
      </w:r>
      <w:r w:rsidRPr="001C45DB">
        <w:rPr>
          <w:rFonts w:ascii="Times New Roman" w:eastAsia="Times New Roman" w:hAnsi="Times New Roman" w:cs="Times New Roman"/>
          <w:lang w:eastAsia="es-CL"/>
        </w:rPr>
        <w:t>en</w:t>
      </w:r>
      <w:r w:rsidR="00C65103" w:rsidRPr="001C45DB">
        <w:rPr>
          <w:rFonts w:ascii="Times New Roman" w:eastAsia="Times New Roman" w:hAnsi="Times New Roman" w:cs="Times New Roman"/>
          <w:lang w:eastAsia="es-CL"/>
        </w:rPr>
        <w:t xml:space="preserve"> el formulario N° 22</w:t>
      </w:r>
      <w:r w:rsidRPr="001C45DB">
        <w:rPr>
          <w:rFonts w:ascii="Times New Roman" w:eastAsia="Times New Roman" w:hAnsi="Times New Roman" w:cs="Times New Roman"/>
          <w:lang w:eastAsia="es-CL"/>
        </w:rPr>
        <w:t xml:space="preserve">. </w:t>
      </w:r>
      <w:r w:rsidRPr="001C45DB">
        <w:rPr>
          <w:rFonts w:ascii="Times New Roman" w:hAnsi="Times New Roman" w:cs="Times New Roman"/>
        </w:rPr>
        <w:t xml:space="preserve">Señala que el </w:t>
      </w:r>
      <w:r w:rsidR="0083229F" w:rsidRPr="001C45DB">
        <w:rPr>
          <w:rFonts w:ascii="Times New Roman" w:hAnsi="Times New Roman" w:cs="Times New Roman"/>
        </w:rPr>
        <w:t xml:space="preserve">referido formulario, en su versión electrónica, no permite declarar con una tasa de impuesto de primera categoría inferior a la vigente, por lo que se encuentra </w:t>
      </w:r>
      <w:r w:rsidR="0083229F" w:rsidRPr="001C45DB">
        <w:rPr>
          <w:rFonts w:ascii="Times New Roman" w:eastAsia="Times New Roman" w:hAnsi="Times New Roman" w:cs="Times New Roman"/>
          <w:lang w:eastAsia="es-CL"/>
        </w:rPr>
        <w:t>obligado a declarar en un formulario físico.</w:t>
      </w:r>
    </w:p>
    <w:p w:rsidR="0056242B" w:rsidRPr="001C45DB" w:rsidRDefault="006F12A8" w:rsidP="0056242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eastAsia="Times New Roman" w:hAnsi="Times New Roman" w:cs="Times New Roman"/>
          <w:lang w:eastAsia="es-CL"/>
        </w:rPr>
        <w:t>Finalmente solicita confirmar los siguientes criterios:</w:t>
      </w:r>
    </w:p>
    <w:p w:rsidR="006F12A8" w:rsidRPr="001C45DB" w:rsidRDefault="006F12A8" w:rsidP="0056242B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eastAsia="Times New Roman" w:hAnsi="Times New Roman" w:cs="Times New Roman"/>
          <w:lang w:eastAsia="es-CL"/>
        </w:rPr>
        <w:t>Que</w:t>
      </w:r>
      <w:r w:rsidR="00770528" w:rsidRPr="001C45DB">
        <w:rPr>
          <w:rFonts w:ascii="Times New Roman" w:eastAsia="Times New Roman" w:hAnsi="Times New Roman" w:cs="Times New Roman"/>
          <w:lang w:eastAsia="es-CL"/>
        </w:rPr>
        <w:t>,</w:t>
      </w:r>
      <w:r w:rsidRPr="001C45DB">
        <w:rPr>
          <w:rFonts w:ascii="Times New Roman" w:eastAsia="Times New Roman" w:hAnsi="Times New Roman" w:cs="Times New Roman"/>
          <w:lang w:eastAsia="es-CL"/>
        </w:rPr>
        <w:t xml:space="preserve"> </w:t>
      </w:r>
      <w:r w:rsidR="0083229F" w:rsidRPr="001C45DB">
        <w:rPr>
          <w:rFonts w:ascii="Times New Roman" w:eastAsia="Times New Roman" w:hAnsi="Times New Roman" w:cs="Times New Roman"/>
          <w:lang w:eastAsia="es-CL"/>
        </w:rPr>
        <w:t xml:space="preserve">en razón de la invariabilidad tributaria de que gozan los partícipes del contratista de los contratos que individualiza, estos </w:t>
      </w:r>
      <w:r w:rsidRPr="001C45DB">
        <w:rPr>
          <w:rFonts w:ascii="Times New Roman" w:eastAsia="Times New Roman" w:hAnsi="Times New Roman" w:cs="Times New Roman"/>
          <w:lang w:eastAsia="es-CL"/>
        </w:rPr>
        <w:t xml:space="preserve">seguirán rigiéndose por la </w:t>
      </w:r>
      <w:r w:rsidR="00E07D5B" w:rsidRPr="001C45DB">
        <w:rPr>
          <w:rFonts w:ascii="Times New Roman" w:eastAsia="Times New Roman" w:hAnsi="Times New Roman" w:cs="Times New Roman"/>
          <w:lang w:eastAsia="es-CL"/>
        </w:rPr>
        <w:t>Ley sobre Impuesto a la Renta</w:t>
      </w:r>
      <w:r w:rsidRPr="001C45DB">
        <w:rPr>
          <w:rFonts w:ascii="Times New Roman" w:eastAsia="Times New Roman" w:hAnsi="Times New Roman" w:cs="Times New Roman"/>
          <w:lang w:eastAsia="es-CL"/>
        </w:rPr>
        <w:t xml:space="preserve"> vigente a la fecha de la celebración de cada uno de</w:t>
      </w:r>
      <w:r w:rsidR="0000158B" w:rsidRPr="001C45DB">
        <w:rPr>
          <w:rFonts w:ascii="Times New Roman" w:eastAsia="Times New Roman" w:hAnsi="Times New Roman" w:cs="Times New Roman"/>
          <w:lang w:eastAsia="es-CL"/>
        </w:rPr>
        <w:t xml:space="preserve"> los contratos, y por tanto deberían continuar rigiéndose por el artículo 14 de la </w:t>
      </w:r>
      <w:r w:rsidR="00E07D5B" w:rsidRPr="001C45DB">
        <w:rPr>
          <w:rFonts w:ascii="Times New Roman" w:eastAsia="Times New Roman" w:hAnsi="Times New Roman" w:cs="Times New Roman"/>
          <w:lang w:eastAsia="es-CL"/>
        </w:rPr>
        <w:t>Ley sobre Impuesto a la Renta</w:t>
      </w:r>
      <w:r w:rsidR="0000158B" w:rsidRPr="001C45DB">
        <w:rPr>
          <w:rFonts w:ascii="Times New Roman" w:eastAsia="Times New Roman" w:hAnsi="Times New Roman" w:cs="Times New Roman"/>
          <w:lang w:eastAsia="es-CL"/>
        </w:rPr>
        <w:t xml:space="preserve"> vigente hasta el </w:t>
      </w:r>
      <w:r w:rsidR="0083229F" w:rsidRPr="001C45DB">
        <w:rPr>
          <w:rFonts w:ascii="Times New Roman" w:eastAsia="Times New Roman" w:hAnsi="Times New Roman" w:cs="Times New Roman"/>
          <w:lang w:eastAsia="es-CL"/>
        </w:rPr>
        <w:t>31.12.</w:t>
      </w:r>
      <w:r w:rsidR="0000158B" w:rsidRPr="001C45DB">
        <w:rPr>
          <w:rFonts w:ascii="Times New Roman" w:eastAsia="Times New Roman" w:hAnsi="Times New Roman" w:cs="Times New Roman"/>
          <w:lang w:eastAsia="es-CL"/>
        </w:rPr>
        <w:t>2016</w:t>
      </w:r>
      <w:r w:rsidR="00E127D2" w:rsidRPr="001C45DB">
        <w:rPr>
          <w:rFonts w:ascii="Times New Roman" w:eastAsia="Times New Roman" w:hAnsi="Times New Roman" w:cs="Times New Roman"/>
          <w:lang w:eastAsia="es-CL"/>
        </w:rPr>
        <w:t>.</w:t>
      </w:r>
    </w:p>
    <w:p w:rsidR="0056242B" w:rsidRPr="001C45DB" w:rsidRDefault="0053442C" w:rsidP="0056242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eastAsia="Times New Roman" w:hAnsi="Times New Roman" w:cs="Times New Roman"/>
          <w:lang w:eastAsia="es-CL"/>
        </w:rPr>
        <w:t>Que en virtud de lo anterior, las utilidades generadas y distribuidas por los socios o accionistas de los partícipes de los contratistas a partir del 2017, tendrán el mismo tratamiento tributario que aquél FUT generado con anterioridad a esa fecha, y por tanto el impuesto de primera categoría será 100% acreditable</w:t>
      </w:r>
      <w:r w:rsidR="00B62458" w:rsidRPr="001C45DB">
        <w:rPr>
          <w:rFonts w:ascii="Times New Roman" w:eastAsia="Times New Roman" w:hAnsi="Times New Roman" w:cs="Times New Roman"/>
          <w:lang w:eastAsia="es-CL"/>
        </w:rPr>
        <w:t xml:space="preserve"> contra el impuesto adicional, no obstante que el inversionista extranjero esté domiciliado en un país o jurisdicción que no haya </w:t>
      </w:r>
      <w:r w:rsidR="0083229F" w:rsidRPr="001C45DB">
        <w:rPr>
          <w:rFonts w:ascii="Times New Roman" w:eastAsia="Times New Roman" w:hAnsi="Times New Roman" w:cs="Times New Roman"/>
          <w:lang w:eastAsia="es-CL"/>
        </w:rPr>
        <w:t xml:space="preserve">suscrito convenios para evitar </w:t>
      </w:r>
      <w:r w:rsidR="0056242B" w:rsidRPr="001C45DB">
        <w:rPr>
          <w:rFonts w:ascii="Times New Roman" w:eastAsia="Times New Roman" w:hAnsi="Times New Roman" w:cs="Times New Roman"/>
          <w:lang w:eastAsia="es-CL"/>
        </w:rPr>
        <w:t>la doble tributación con Chile.</w:t>
      </w:r>
    </w:p>
    <w:p w:rsidR="00760D1A" w:rsidRPr="001C45DB" w:rsidRDefault="00760D1A" w:rsidP="00760D1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es-CL"/>
        </w:rPr>
      </w:pPr>
    </w:p>
    <w:p w:rsidR="0056242B" w:rsidRPr="001C45DB" w:rsidRDefault="00B62458" w:rsidP="0056242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hAnsi="Times New Roman" w:cs="Times New Roman"/>
        </w:rPr>
        <w:t xml:space="preserve">Que a contar del </w:t>
      </w:r>
      <w:r w:rsidR="0083229F" w:rsidRPr="001C45DB">
        <w:rPr>
          <w:rFonts w:ascii="Times New Roman" w:hAnsi="Times New Roman" w:cs="Times New Roman"/>
        </w:rPr>
        <w:t>01.01.</w:t>
      </w:r>
      <w:r w:rsidRPr="001C45DB">
        <w:rPr>
          <w:rFonts w:ascii="Times New Roman" w:hAnsi="Times New Roman" w:cs="Times New Roman"/>
        </w:rPr>
        <w:t>2017, las pérdidas</w:t>
      </w:r>
      <w:r w:rsidR="00724B99" w:rsidRPr="001C45DB">
        <w:rPr>
          <w:rFonts w:ascii="Times New Roman" w:hAnsi="Times New Roman" w:cs="Times New Roman"/>
        </w:rPr>
        <w:t xml:space="preserve"> </w:t>
      </w:r>
      <w:r w:rsidRPr="001C45DB">
        <w:rPr>
          <w:rFonts w:ascii="Times New Roman" w:hAnsi="Times New Roman" w:cs="Times New Roman"/>
        </w:rPr>
        <w:t>tributarias podrán continuar imputándose en contra de las utilidades retenidas o distribuidas y por tanto, se podrá</w:t>
      </w:r>
      <w:r w:rsidR="0038679D" w:rsidRPr="001C45DB">
        <w:rPr>
          <w:rFonts w:ascii="Times New Roman" w:hAnsi="Times New Roman" w:cs="Times New Roman"/>
        </w:rPr>
        <w:t xml:space="preserve"> continuar recuperando el impuesto de primera categoría pagado por dichas utilidades como un pago provisional por utilidades absorbidas.</w:t>
      </w:r>
    </w:p>
    <w:p w:rsidR="0038679D" w:rsidRPr="001C09B0" w:rsidRDefault="0038679D" w:rsidP="0056242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C45DB">
        <w:rPr>
          <w:rFonts w:ascii="Times New Roman" w:hAnsi="Times New Roman" w:cs="Times New Roman"/>
        </w:rPr>
        <w:t>Finamente, solicita que se instruya la forma en que se deberán cumplir las obligaciones de declaración anual de impuesto a la renta</w:t>
      </w:r>
      <w:r w:rsidR="00CF3C2B" w:rsidRPr="001C45DB">
        <w:rPr>
          <w:rFonts w:ascii="Times New Roman" w:hAnsi="Times New Roman" w:cs="Times New Roman"/>
        </w:rPr>
        <w:t>, c</w:t>
      </w:r>
      <w:r w:rsidRPr="001C45DB">
        <w:rPr>
          <w:rFonts w:ascii="Times New Roman" w:hAnsi="Times New Roman" w:cs="Times New Roman"/>
        </w:rPr>
        <w:t>o</w:t>
      </w:r>
      <w:r w:rsidR="00783243" w:rsidRPr="001C45DB">
        <w:rPr>
          <w:rFonts w:ascii="Times New Roman" w:hAnsi="Times New Roman" w:cs="Times New Roman"/>
        </w:rPr>
        <w:t>nsiderando las particularidades de estos contribuyentes.</w:t>
      </w:r>
      <w:r w:rsidRPr="001C45DB">
        <w:rPr>
          <w:rFonts w:ascii="Times New Roman" w:hAnsi="Times New Roman" w:cs="Times New Roman"/>
        </w:rPr>
        <w:t xml:space="preserve"> </w:t>
      </w:r>
    </w:p>
    <w:p w:rsidR="001C09B0" w:rsidRDefault="001C09B0" w:rsidP="001C09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</w:p>
    <w:p w:rsidR="0089237E" w:rsidRDefault="0089237E" w:rsidP="001C09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</w:p>
    <w:p w:rsidR="0089237E" w:rsidRDefault="0089237E" w:rsidP="001C09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</w:p>
    <w:p w:rsidR="0089237E" w:rsidRPr="001C45DB" w:rsidRDefault="0089237E" w:rsidP="001C09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  <w:bookmarkStart w:id="0" w:name="_GoBack"/>
      <w:bookmarkEnd w:id="0"/>
    </w:p>
    <w:p w:rsidR="00E65B74" w:rsidRPr="001C45DB" w:rsidRDefault="00770528" w:rsidP="007705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45DB">
        <w:rPr>
          <w:rFonts w:ascii="Times New Roman" w:hAnsi="Times New Roman" w:cs="Times New Roman"/>
          <w:b/>
        </w:rPr>
        <w:lastRenderedPageBreak/>
        <w:t>II</w:t>
      </w:r>
      <w:r w:rsidRPr="001C45DB">
        <w:rPr>
          <w:rFonts w:ascii="Times New Roman" w:hAnsi="Times New Roman" w:cs="Times New Roman"/>
          <w:b/>
        </w:rPr>
        <w:tab/>
      </w:r>
      <w:r w:rsidR="00E65B74" w:rsidRPr="001C45DB">
        <w:rPr>
          <w:rFonts w:ascii="Times New Roman" w:hAnsi="Times New Roman" w:cs="Times New Roman"/>
          <w:b/>
        </w:rPr>
        <w:t>ANÁLISIS</w:t>
      </w:r>
    </w:p>
    <w:p w:rsidR="00667927" w:rsidRPr="001C45DB" w:rsidRDefault="00770528" w:rsidP="00724B99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Como cuestión de orden general, </w:t>
      </w:r>
      <w:r w:rsidR="00667927" w:rsidRPr="001C45DB">
        <w:rPr>
          <w:rFonts w:ascii="Times New Roman" w:hAnsi="Times New Roman" w:cs="Times New Roman"/>
        </w:rPr>
        <w:t xml:space="preserve">es necesario analizar el alcance </w:t>
      </w:r>
      <w:r w:rsidRPr="001C45DB">
        <w:rPr>
          <w:rFonts w:ascii="Times New Roman" w:hAnsi="Times New Roman" w:cs="Times New Roman"/>
        </w:rPr>
        <w:t xml:space="preserve">del </w:t>
      </w:r>
      <w:r w:rsidR="0084560C" w:rsidRPr="001C45DB">
        <w:rPr>
          <w:rFonts w:ascii="Times New Roman" w:hAnsi="Times New Roman" w:cs="Times New Roman"/>
        </w:rPr>
        <w:t>decreto ley</w:t>
      </w:r>
      <w:r w:rsidRPr="001C45DB">
        <w:rPr>
          <w:rFonts w:ascii="Times New Roman" w:hAnsi="Times New Roman" w:cs="Times New Roman"/>
        </w:rPr>
        <w:t xml:space="preserve"> N° </w:t>
      </w:r>
      <w:r w:rsidR="0084560C" w:rsidRPr="001C45DB">
        <w:rPr>
          <w:rFonts w:ascii="Times New Roman" w:hAnsi="Times New Roman" w:cs="Times New Roman"/>
        </w:rPr>
        <w:t xml:space="preserve">1.089 de 1975 </w:t>
      </w:r>
      <w:r w:rsidRPr="001C45DB">
        <w:rPr>
          <w:rFonts w:ascii="Times New Roman" w:hAnsi="Times New Roman" w:cs="Times New Roman"/>
        </w:rPr>
        <w:t>(</w:t>
      </w:r>
      <w:r w:rsidR="00B6523C" w:rsidRPr="001C45DB">
        <w:rPr>
          <w:rFonts w:ascii="Times New Roman" w:hAnsi="Times New Roman" w:cs="Times New Roman"/>
        </w:rPr>
        <w:t xml:space="preserve">cuyo texto refundido, coordinado y sistematizado fue fijado por el </w:t>
      </w:r>
      <w:r w:rsidR="0084560C" w:rsidRPr="001C45DB">
        <w:rPr>
          <w:rFonts w:ascii="Times New Roman" w:hAnsi="Times New Roman" w:cs="Times New Roman"/>
        </w:rPr>
        <w:t>decreto con fuerza de ley</w:t>
      </w:r>
      <w:r w:rsidR="00B6523C" w:rsidRPr="001C45DB">
        <w:rPr>
          <w:rFonts w:ascii="Times New Roman" w:hAnsi="Times New Roman" w:cs="Times New Roman"/>
        </w:rPr>
        <w:t xml:space="preserve"> N° 2, de 1986</w:t>
      </w:r>
      <w:r w:rsidR="00667927" w:rsidRPr="001C45DB">
        <w:rPr>
          <w:rFonts w:ascii="Times New Roman" w:hAnsi="Times New Roman" w:cs="Times New Roman"/>
        </w:rPr>
        <w:t>), citado</w:t>
      </w:r>
      <w:r w:rsidRPr="001C45DB">
        <w:rPr>
          <w:rFonts w:ascii="Times New Roman" w:hAnsi="Times New Roman" w:cs="Times New Roman"/>
        </w:rPr>
        <w:t xml:space="preserve"> en su presentación</w:t>
      </w:r>
      <w:r w:rsidR="00667927" w:rsidRPr="001C45DB">
        <w:rPr>
          <w:rFonts w:ascii="Times New Roman" w:hAnsi="Times New Roman" w:cs="Times New Roman"/>
        </w:rPr>
        <w:t xml:space="preserve">; en particular los artículos 5° y 12.  </w:t>
      </w:r>
    </w:p>
    <w:p w:rsidR="00667927" w:rsidRPr="001C45DB" w:rsidRDefault="00667927" w:rsidP="00724B99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En efecto, de acuerdo a los artículos citados: </w:t>
      </w:r>
    </w:p>
    <w:p w:rsidR="00667927" w:rsidRPr="001C45DB" w:rsidRDefault="00667927" w:rsidP="00EF13ED">
      <w:pPr>
        <w:pStyle w:val="Prrafodelista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El contratista estará afecto a un impuesto calculado directamente sobre el monto de la retribución definida en el artículo 1°, equivalente a un 50% de dicha retribución; o bien, podrá serle aplicable el “régimen tributario” de la Ley de la Renta, según lo determine el Presidente de la República. </w:t>
      </w:r>
    </w:p>
    <w:p w:rsidR="00EF13ED" w:rsidRPr="001C45DB" w:rsidRDefault="00EF13ED" w:rsidP="00EF13ED">
      <w:pPr>
        <w:pStyle w:val="Prrafodelista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:rsidR="00667927" w:rsidRPr="001C45DB" w:rsidRDefault="00667927" w:rsidP="00EF13ED">
      <w:pPr>
        <w:pStyle w:val="Prrafodelista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No obstante lo anterior, el Presidente de la República podrá, cualquiera que sea el sistema tributario fijado, disponer rebajas del impuesto, o de todos o cada uno de los impuestos de </w:t>
      </w:r>
      <w:r w:rsidR="00EF13ED" w:rsidRPr="001C45DB">
        <w:rPr>
          <w:rFonts w:ascii="Times New Roman" w:hAnsi="Times New Roman" w:cs="Times New Roman"/>
        </w:rPr>
        <w:t>la Ley de la Renta.</w:t>
      </w:r>
      <w:r w:rsidRPr="001C45DB">
        <w:rPr>
          <w:rFonts w:ascii="Times New Roman" w:hAnsi="Times New Roman" w:cs="Times New Roman"/>
        </w:rPr>
        <w:t xml:space="preserve"> </w:t>
      </w:r>
    </w:p>
    <w:p w:rsidR="00EF13ED" w:rsidRPr="001C45DB" w:rsidRDefault="00EF13ED" w:rsidP="00EF13ED">
      <w:pPr>
        <w:pStyle w:val="Prrafodelista"/>
        <w:rPr>
          <w:rFonts w:ascii="Times New Roman" w:hAnsi="Times New Roman" w:cs="Times New Roman"/>
        </w:rPr>
      </w:pPr>
    </w:p>
    <w:p w:rsidR="00667927" w:rsidRPr="001C45DB" w:rsidRDefault="00667927" w:rsidP="00EF13ED">
      <w:pPr>
        <w:pStyle w:val="Prrafodelista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>Cualquiera que sea el sistema fijado por el Presidente de la República en conformidad a este artículo, éste “substituirá todo otro impuesto directo o indirecto” que pudiere gravar la retribución o al contratista en razón de la misma, “y será invariable por el plazo que se otorgue”.</w:t>
      </w:r>
    </w:p>
    <w:p w:rsidR="00EF13ED" w:rsidRPr="001C45DB" w:rsidRDefault="00EF13ED" w:rsidP="00EF13ED">
      <w:pPr>
        <w:pStyle w:val="Prrafodelista"/>
        <w:rPr>
          <w:rFonts w:ascii="Times New Roman" w:hAnsi="Times New Roman" w:cs="Times New Roman"/>
        </w:rPr>
      </w:pPr>
    </w:p>
    <w:p w:rsidR="00667927" w:rsidRPr="001C45DB" w:rsidRDefault="00667927" w:rsidP="00EF13ED">
      <w:pPr>
        <w:pStyle w:val="Prrafodelista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>El régimen, beneficios, franquicias y exenciones, establecidos en cualquiera de los artículos de este decreto ley, de los cuales deberá dejarse constancia en el contrato, permanecerán invariables durante la vigencia del mismo.</w:t>
      </w:r>
    </w:p>
    <w:p w:rsidR="00667927" w:rsidRPr="001C45DB" w:rsidRDefault="00252D91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Conforme lo anterior, es posible conferir al contratista un régimen preferencial, sustitutivo e invariable </w:t>
      </w:r>
      <w:r w:rsidR="0083229F" w:rsidRPr="001C45DB">
        <w:rPr>
          <w:rFonts w:ascii="Times New Roman" w:hAnsi="Times New Roman" w:cs="Times New Roman"/>
        </w:rPr>
        <w:t xml:space="preserve">limitado a los </w:t>
      </w:r>
      <w:r w:rsidRPr="001C45DB">
        <w:rPr>
          <w:rFonts w:ascii="Times New Roman" w:hAnsi="Times New Roman" w:cs="Times New Roman"/>
        </w:rPr>
        <w:t xml:space="preserve">“impuestos” o, en términos más amplios, </w:t>
      </w:r>
      <w:r w:rsidR="0083229F" w:rsidRPr="001C45DB">
        <w:rPr>
          <w:rFonts w:ascii="Times New Roman" w:hAnsi="Times New Roman" w:cs="Times New Roman"/>
        </w:rPr>
        <w:t>al</w:t>
      </w:r>
      <w:r w:rsidRPr="001C45DB">
        <w:rPr>
          <w:rFonts w:ascii="Times New Roman" w:hAnsi="Times New Roman" w:cs="Times New Roman"/>
        </w:rPr>
        <w:t xml:space="preserve"> “régimen tributario”</w:t>
      </w:r>
      <w:r w:rsidR="0083229F" w:rsidRPr="001C45DB">
        <w:rPr>
          <w:rFonts w:ascii="Times New Roman" w:hAnsi="Times New Roman" w:cs="Times New Roman"/>
        </w:rPr>
        <w:t xml:space="preserve"> general establecido en la Ley sobre Impuesto a la Renta. </w:t>
      </w:r>
    </w:p>
    <w:p w:rsidR="00252D91" w:rsidRPr="001C45DB" w:rsidRDefault="00252D91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Al respecto, de acuerdo al artículo duodécimo, impuestos y gravámenes, del texto refundido del contrato especial de operación para la exploración y explotación de yacimientos de hidrocarburos área bloque </w:t>
      </w:r>
      <w:r w:rsidR="006C2D9E">
        <w:rPr>
          <w:rFonts w:ascii="Times New Roman" w:hAnsi="Times New Roman" w:cs="Times New Roman"/>
        </w:rPr>
        <w:t>TTT</w:t>
      </w:r>
      <w:r w:rsidRPr="001C45DB">
        <w:rPr>
          <w:rFonts w:ascii="Times New Roman" w:hAnsi="Times New Roman" w:cs="Times New Roman"/>
        </w:rPr>
        <w:t xml:space="preserve">, las rentas </w:t>
      </w:r>
      <w:r w:rsidR="0083229F" w:rsidRPr="001C45DB">
        <w:rPr>
          <w:rFonts w:ascii="Times New Roman" w:hAnsi="Times New Roman" w:cs="Times New Roman"/>
        </w:rPr>
        <w:t xml:space="preserve">de los partícipes del contratista </w:t>
      </w:r>
      <w:r w:rsidRPr="001C45DB">
        <w:rPr>
          <w:rFonts w:ascii="Times New Roman" w:hAnsi="Times New Roman" w:cs="Times New Roman"/>
        </w:rPr>
        <w:t xml:space="preserve">estarán sujetas “al sistema tributario general” establecido en la Ley sobre Impuesto a la Renta y los dictámenes que han interpretado dicha ley, “vigentes a la fecha del Contrato”. </w:t>
      </w:r>
      <w:r w:rsidR="00FB4254" w:rsidRPr="001C45DB">
        <w:rPr>
          <w:rFonts w:ascii="Times New Roman" w:hAnsi="Times New Roman" w:cs="Times New Roman"/>
        </w:rPr>
        <w:t>Las disposiciones de la mencionada ley y sus dictámenes, que constituirían el “régimen de impuesto a la renta, sustituirán todo otro impuesto directo o indirecto que gravan a la Retribución o a los Partícipes del Contratista en razón de la misma y serán invariables por el plazo de este Contrato…”</w:t>
      </w:r>
    </w:p>
    <w:p w:rsidR="00252D91" w:rsidRPr="001C45DB" w:rsidRDefault="00252D91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En la misma cláusula se precisa que, para “estos efectos la Ley sobre Impuesto a la Renta es aquella establecida bajo el Artículo Primero del Decreto Ley ochocientos veinticuatro… y sus modificaciones hasta la fecha del Contrato”. </w:t>
      </w:r>
    </w:p>
    <w:p w:rsidR="00252D91" w:rsidRPr="001C45DB" w:rsidRDefault="00252D91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>Conforme lo anterior “y de acuerdo a la total aplicación de la Ley sobre Impuesto a la Renta mencionada anteriormente y sus dictámenes y reglamentos, el esquema general tributario de cada Partícipe del Contratista, incluyendo a los accionistas, socios o Casa Matriz de cada Partícipe, será el siguiente</w:t>
      </w:r>
      <w:r w:rsidR="00FA7AAE" w:rsidRPr="001C45DB">
        <w:rPr>
          <w:rFonts w:ascii="Times New Roman" w:hAnsi="Times New Roman" w:cs="Times New Roman"/>
        </w:rPr>
        <w:t xml:space="preserve">…” </w:t>
      </w:r>
    </w:p>
    <w:p w:rsidR="00FA7AAE" w:rsidRPr="001C45DB" w:rsidRDefault="00FA7AAE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De las voces “sistema tributario general”, </w:t>
      </w:r>
      <w:r w:rsidR="00FB4254" w:rsidRPr="001C45DB">
        <w:rPr>
          <w:rFonts w:ascii="Times New Roman" w:hAnsi="Times New Roman" w:cs="Times New Roman"/>
        </w:rPr>
        <w:t xml:space="preserve">“régimen de impuesto a la renta”, </w:t>
      </w:r>
      <w:r w:rsidRPr="001C45DB">
        <w:rPr>
          <w:rFonts w:ascii="Times New Roman" w:hAnsi="Times New Roman" w:cs="Times New Roman"/>
        </w:rPr>
        <w:t>“vigente a la fecha del Contrato”</w:t>
      </w:r>
      <w:r w:rsidR="00FB4254" w:rsidRPr="001C45DB">
        <w:rPr>
          <w:rFonts w:ascii="Times New Roman" w:hAnsi="Times New Roman" w:cs="Times New Roman"/>
        </w:rPr>
        <w:t xml:space="preserve">, </w:t>
      </w:r>
      <w:r w:rsidRPr="001C45DB">
        <w:rPr>
          <w:rFonts w:ascii="Times New Roman" w:hAnsi="Times New Roman" w:cs="Times New Roman"/>
        </w:rPr>
        <w:t>“total aplicación”</w:t>
      </w:r>
      <w:r w:rsidR="00FB4254" w:rsidRPr="001C45DB">
        <w:rPr>
          <w:rFonts w:ascii="Times New Roman" w:hAnsi="Times New Roman" w:cs="Times New Roman"/>
        </w:rPr>
        <w:t xml:space="preserve"> y “modificaciones hasta la fecha del contrato”</w:t>
      </w:r>
      <w:r w:rsidRPr="001C45DB">
        <w:rPr>
          <w:rFonts w:ascii="Times New Roman" w:hAnsi="Times New Roman" w:cs="Times New Roman"/>
        </w:rPr>
        <w:t xml:space="preserve">, se </w:t>
      </w:r>
      <w:r w:rsidR="0083229F" w:rsidRPr="001C45DB">
        <w:rPr>
          <w:rFonts w:ascii="Times New Roman" w:hAnsi="Times New Roman" w:cs="Times New Roman"/>
        </w:rPr>
        <w:t xml:space="preserve">desprende no sólo que cada partícipe del contratista puede invocar las cláusulas especiales dispuestas en cada contrato, sino </w:t>
      </w:r>
      <w:r w:rsidRPr="001C45DB">
        <w:rPr>
          <w:rFonts w:ascii="Times New Roman" w:hAnsi="Times New Roman" w:cs="Times New Roman"/>
        </w:rPr>
        <w:t xml:space="preserve">además la invariabilidad del “régimen” completo establecido en la Ley sobre Impuesto a la Renta, según su texto vigente e interpretaciones, a la fecha del contrato. </w:t>
      </w:r>
    </w:p>
    <w:p w:rsidR="00FA7AAE" w:rsidRPr="001C45DB" w:rsidRDefault="00FA7AAE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>De este modo, sólo cabe confirmar los criterios señalados en su presentación, todos los cuales parten del supuesto – correcto – que debe mantenerse el régimen tributario conforme al texto de l</w:t>
      </w:r>
      <w:r w:rsidR="0083229F" w:rsidRPr="001C45DB">
        <w:rPr>
          <w:rFonts w:ascii="Times New Roman" w:hAnsi="Times New Roman" w:cs="Times New Roman"/>
        </w:rPr>
        <w:t xml:space="preserve">a Ley sobre Impuesto a la Renta, vigente </w:t>
      </w:r>
      <w:r w:rsidRPr="001C45DB">
        <w:rPr>
          <w:rFonts w:ascii="Times New Roman" w:hAnsi="Times New Roman" w:cs="Times New Roman"/>
        </w:rPr>
        <w:t xml:space="preserve">a la fecha de perfeccionarse los respectivos contratos, sin afectarle, en consecuencia, las modificaciones posteriores introducidas por la Ley N° 20.780, sobre reforma tributaria. </w:t>
      </w:r>
    </w:p>
    <w:p w:rsidR="00FA7AAE" w:rsidRPr="001C45DB" w:rsidRDefault="00FA7AAE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Lo anterior, de acuerdo al contrato, se </w:t>
      </w:r>
      <w:r w:rsidR="0083229F" w:rsidRPr="001C45DB">
        <w:rPr>
          <w:rFonts w:ascii="Times New Roman" w:hAnsi="Times New Roman" w:cs="Times New Roman"/>
        </w:rPr>
        <w:t>extiende a cada partícipe del contratista, como también a los accionistas, socios o casa matriz de cada partícipe</w:t>
      </w:r>
      <w:r w:rsidRPr="001C45DB">
        <w:rPr>
          <w:rFonts w:ascii="Times New Roman" w:hAnsi="Times New Roman" w:cs="Times New Roman"/>
        </w:rPr>
        <w:t xml:space="preserve">. </w:t>
      </w:r>
    </w:p>
    <w:p w:rsidR="00372F1F" w:rsidRPr="001C45DB" w:rsidRDefault="00372F1F" w:rsidP="00667927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Sin perjuicio de lo anterior, se precisa que el tratamiento tributario de la Ley sobre Impuesto a la Renta, vigente a la fecha de la suscripción de los CEOPS para la exploración y explotación de yacimientos de hidrocarburos suscritos con el Estado de Chile se mantiene vigente respecto de las rentas obtenidas por los partícipes y sus socios o accionistas, de acuerdo a lo dispuesto en el decreto </w:t>
      </w:r>
      <w:r w:rsidRPr="001C45DB">
        <w:rPr>
          <w:rFonts w:ascii="Times New Roman" w:hAnsi="Times New Roman" w:cs="Times New Roman"/>
        </w:rPr>
        <w:lastRenderedPageBreak/>
        <w:t xml:space="preserve">ley N° 1.089 de 1975, únicamente sobre las rentas provenientes de dichos contratos y no respecto de otras rentas que eventualmente pueda obtener el contribuyente y, sobre las cuales, se aplican las reglas generales de la Ley sobre Impuesto a la Renta en caso de obtenerlas.  </w:t>
      </w:r>
    </w:p>
    <w:p w:rsidR="00D33E60" w:rsidRDefault="00AF05F3" w:rsidP="00C33D2A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En lo que refiere a la solicitud </w:t>
      </w:r>
      <w:r w:rsidR="00A42FC0" w:rsidRPr="001C45DB">
        <w:rPr>
          <w:rFonts w:ascii="Times New Roman" w:hAnsi="Times New Roman" w:cs="Times New Roman"/>
        </w:rPr>
        <w:t xml:space="preserve">de instruir sobre </w:t>
      </w:r>
      <w:r w:rsidRPr="001C45DB">
        <w:rPr>
          <w:rFonts w:ascii="Times New Roman" w:hAnsi="Times New Roman" w:cs="Times New Roman"/>
        </w:rPr>
        <w:t xml:space="preserve">la forma </w:t>
      </w:r>
      <w:r w:rsidR="00A42FC0" w:rsidRPr="001C45DB">
        <w:rPr>
          <w:rFonts w:ascii="Times New Roman" w:hAnsi="Times New Roman" w:cs="Times New Roman"/>
        </w:rPr>
        <w:t>de</w:t>
      </w:r>
      <w:r w:rsidRPr="001C45DB">
        <w:rPr>
          <w:rFonts w:ascii="Times New Roman" w:hAnsi="Times New Roman" w:cs="Times New Roman"/>
        </w:rPr>
        <w:t xml:space="preserve"> cumplir</w:t>
      </w:r>
      <w:r w:rsidR="00A42FC0" w:rsidRPr="001C45DB">
        <w:rPr>
          <w:rFonts w:ascii="Times New Roman" w:hAnsi="Times New Roman" w:cs="Times New Roman"/>
        </w:rPr>
        <w:t xml:space="preserve"> la obligación </w:t>
      </w:r>
      <w:r w:rsidRPr="001C45DB">
        <w:rPr>
          <w:rFonts w:ascii="Times New Roman" w:hAnsi="Times New Roman" w:cs="Times New Roman"/>
        </w:rPr>
        <w:t xml:space="preserve">de declaración anual de impuesto a la renta, considerando las particularidades de estos contribuyentes, cabe señalar </w:t>
      </w:r>
      <w:r w:rsidR="00DE0A06" w:rsidRPr="001C45DB">
        <w:rPr>
          <w:rFonts w:ascii="Times New Roman" w:hAnsi="Times New Roman" w:cs="Times New Roman"/>
        </w:rPr>
        <w:t xml:space="preserve">que </w:t>
      </w:r>
      <w:r w:rsidR="00C33D2A" w:rsidRPr="001C45DB">
        <w:rPr>
          <w:rFonts w:ascii="Times New Roman" w:hAnsi="Times New Roman" w:cs="Times New Roman"/>
        </w:rPr>
        <w:t xml:space="preserve">mediante la Circular N° 14 de 2016 se publicó </w:t>
      </w:r>
      <w:r w:rsidR="008E2953" w:rsidRPr="001C45DB">
        <w:rPr>
          <w:rFonts w:ascii="Times New Roman" w:hAnsi="Times New Roman" w:cs="Times New Roman"/>
        </w:rPr>
        <w:t xml:space="preserve">el </w:t>
      </w:r>
      <w:r w:rsidR="00A42FC0" w:rsidRPr="001C45DB">
        <w:rPr>
          <w:rFonts w:ascii="Times New Roman" w:hAnsi="Times New Roman" w:cs="Times New Roman"/>
        </w:rPr>
        <w:t>Suplemento Tributario</w:t>
      </w:r>
      <w:r w:rsidR="00C33D2A" w:rsidRPr="001C45DB">
        <w:rPr>
          <w:rFonts w:ascii="Times New Roman" w:hAnsi="Times New Roman" w:cs="Times New Roman"/>
        </w:rPr>
        <w:t xml:space="preserve">, con la normativa vigente para efectuar la </w:t>
      </w:r>
      <w:r w:rsidR="008E2953" w:rsidRPr="001C45DB">
        <w:rPr>
          <w:rFonts w:ascii="Times New Roman" w:hAnsi="Times New Roman" w:cs="Times New Roman"/>
        </w:rPr>
        <w:t xml:space="preserve">declaración de los impuestos anuales a la renta correspondientes al año tributario </w:t>
      </w:r>
      <w:r w:rsidR="00C33D2A" w:rsidRPr="001C45DB">
        <w:rPr>
          <w:rFonts w:ascii="Times New Roman" w:hAnsi="Times New Roman" w:cs="Times New Roman"/>
        </w:rPr>
        <w:t>2016, Suplemento que específicamente se refiere al tema de interés en el recuadro N° 7, Código 984, contenido en el reverso del Formulario 22.</w:t>
      </w:r>
    </w:p>
    <w:p w:rsidR="006C2D9E" w:rsidRPr="001C45DB" w:rsidRDefault="006C2D9E" w:rsidP="00C33D2A">
      <w:pPr>
        <w:spacing w:line="240" w:lineRule="auto"/>
        <w:jc w:val="both"/>
        <w:rPr>
          <w:rFonts w:ascii="Times New Roman" w:hAnsi="Times New Roman" w:cs="Times New Roman"/>
        </w:rPr>
      </w:pPr>
    </w:p>
    <w:p w:rsidR="00D33E60" w:rsidRDefault="00770528" w:rsidP="007705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45DB">
        <w:rPr>
          <w:rFonts w:ascii="Times New Roman" w:hAnsi="Times New Roman" w:cs="Times New Roman"/>
          <w:b/>
        </w:rPr>
        <w:t>III</w:t>
      </w:r>
      <w:r w:rsidRPr="001C45DB">
        <w:rPr>
          <w:rFonts w:ascii="Times New Roman" w:hAnsi="Times New Roman" w:cs="Times New Roman"/>
          <w:b/>
        </w:rPr>
        <w:tab/>
      </w:r>
      <w:r w:rsidR="00D33E60" w:rsidRPr="001C45DB">
        <w:rPr>
          <w:rFonts w:ascii="Times New Roman" w:hAnsi="Times New Roman" w:cs="Times New Roman"/>
          <w:b/>
        </w:rPr>
        <w:t>CONCLUSIÓN</w:t>
      </w:r>
    </w:p>
    <w:p w:rsidR="006C2D9E" w:rsidRPr="001C45DB" w:rsidRDefault="006C2D9E" w:rsidP="007705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50735" w:rsidRPr="001C45DB" w:rsidRDefault="00D33E60" w:rsidP="00724B99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En conformidad a lo dispuesto en </w:t>
      </w:r>
      <w:r w:rsidR="0083229F" w:rsidRPr="001C45DB">
        <w:rPr>
          <w:rFonts w:ascii="Times New Roman" w:hAnsi="Times New Roman" w:cs="Times New Roman"/>
        </w:rPr>
        <w:t>el</w:t>
      </w:r>
      <w:r w:rsidRPr="001C45DB">
        <w:rPr>
          <w:rFonts w:ascii="Times New Roman" w:hAnsi="Times New Roman" w:cs="Times New Roman"/>
        </w:rPr>
        <w:t xml:space="preserve"> </w:t>
      </w:r>
      <w:r w:rsidR="0084560C" w:rsidRPr="001C45DB">
        <w:rPr>
          <w:rFonts w:ascii="Times New Roman" w:hAnsi="Times New Roman" w:cs="Times New Roman"/>
        </w:rPr>
        <w:t>decreto ley</w:t>
      </w:r>
      <w:r w:rsidR="00585F26" w:rsidRPr="001C45DB">
        <w:rPr>
          <w:rFonts w:ascii="Times New Roman" w:hAnsi="Times New Roman" w:cs="Times New Roman"/>
        </w:rPr>
        <w:t xml:space="preserve"> </w:t>
      </w:r>
      <w:r w:rsidR="0083229F" w:rsidRPr="001C45DB">
        <w:rPr>
          <w:rFonts w:ascii="Times New Roman" w:hAnsi="Times New Roman" w:cs="Times New Roman"/>
        </w:rPr>
        <w:t xml:space="preserve">N° </w:t>
      </w:r>
      <w:r w:rsidR="0084560C" w:rsidRPr="001C45DB">
        <w:rPr>
          <w:rFonts w:ascii="Times New Roman" w:hAnsi="Times New Roman" w:cs="Times New Roman"/>
        </w:rPr>
        <w:t xml:space="preserve">1.089 de 1975 </w:t>
      </w:r>
      <w:r w:rsidR="0083229F" w:rsidRPr="001C45DB">
        <w:rPr>
          <w:rFonts w:ascii="Times New Roman" w:hAnsi="Times New Roman" w:cs="Times New Roman"/>
        </w:rPr>
        <w:t xml:space="preserve">y los contratos especiales de operación para la exploración y explotación de yacimientos de hidrocarburos, </w:t>
      </w:r>
      <w:r w:rsidR="00EF13ED" w:rsidRPr="001C45DB">
        <w:rPr>
          <w:rFonts w:ascii="Times New Roman" w:hAnsi="Times New Roman" w:cs="Times New Roman"/>
        </w:rPr>
        <w:t xml:space="preserve">los partícipes del contratista, así como también los accionistas, socios o casa matriz de cada partícipe, </w:t>
      </w:r>
      <w:r w:rsidR="0083229F" w:rsidRPr="001C45DB">
        <w:rPr>
          <w:rFonts w:ascii="Times New Roman" w:hAnsi="Times New Roman" w:cs="Times New Roman"/>
        </w:rPr>
        <w:t xml:space="preserve">deben sujetarse al régimen tributario establecido </w:t>
      </w:r>
      <w:r w:rsidRPr="001C45DB">
        <w:rPr>
          <w:rFonts w:ascii="Times New Roman" w:hAnsi="Times New Roman" w:cs="Times New Roman"/>
        </w:rPr>
        <w:t xml:space="preserve">en la </w:t>
      </w:r>
      <w:r w:rsidR="00E07D5B" w:rsidRPr="001C45DB">
        <w:rPr>
          <w:rFonts w:ascii="Times New Roman" w:hAnsi="Times New Roman" w:cs="Times New Roman"/>
        </w:rPr>
        <w:t>Ley sobre Impuesto a la Renta</w:t>
      </w:r>
      <w:r w:rsidR="00550735" w:rsidRPr="001C45DB">
        <w:rPr>
          <w:rFonts w:ascii="Times New Roman" w:hAnsi="Times New Roman" w:cs="Times New Roman"/>
        </w:rPr>
        <w:t xml:space="preserve">, </w:t>
      </w:r>
      <w:r w:rsidR="00EF13ED" w:rsidRPr="001C45DB">
        <w:rPr>
          <w:rFonts w:ascii="Times New Roman" w:hAnsi="Times New Roman" w:cs="Times New Roman"/>
        </w:rPr>
        <w:t xml:space="preserve">según su texto </w:t>
      </w:r>
      <w:r w:rsidRPr="001C45DB">
        <w:rPr>
          <w:rFonts w:ascii="Times New Roman" w:hAnsi="Times New Roman" w:cs="Times New Roman"/>
        </w:rPr>
        <w:t>vigen</w:t>
      </w:r>
      <w:r w:rsidR="00550735" w:rsidRPr="001C45DB">
        <w:rPr>
          <w:rFonts w:ascii="Times New Roman" w:hAnsi="Times New Roman" w:cs="Times New Roman"/>
        </w:rPr>
        <w:t>te</w:t>
      </w:r>
      <w:r w:rsidRPr="001C45DB">
        <w:rPr>
          <w:rFonts w:ascii="Times New Roman" w:hAnsi="Times New Roman" w:cs="Times New Roman"/>
        </w:rPr>
        <w:t xml:space="preserve"> a la fecha</w:t>
      </w:r>
      <w:r w:rsidR="00550735" w:rsidRPr="001C45DB">
        <w:rPr>
          <w:rFonts w:ascii="Times New Roman" w:hAnsi="Times New Roman" w:cs="Times New Roman"/>
        </w:rPr>
        <w:t xml:space="preserve"> de celebración del contrato.</w:t>
      </w:r>
    </w:p>
    <w:p w:rsidR="00585F26" w:rsidRPr="001C45DB" w:rsidRDefault="00550735" w:rsidP="00724B99">
      <w:pPr>
        <w:spacing w:line="240" w:lineRule="auto"/>
        <w:jc w:val="both"/>
        <w:rPr>
          <w:rFonts w:ascii="Times New Roman" w:hAnsi="Times New Roman" w:cs="Times New Roman"/>
        </w:rPr>
      </w:pPr>
      <w:r w:rsidRPr="001C45DB">
        <w:rPr>
          <w:rFonts w:ascii="Times New Roman" w:hAnsi="Times New Roman" w:cs="Times New Roman"/>
        </w:rPr>
        <w:t xml:space="preserve">Respecto de la forma en que estos contribuyentes deben cumplir con declaración anual </w:t>
      </w:r>
      <w:r w:rsidR="00EE675E" w:rsidRPr="001C45DB">
        <w:rPr>
          <w:rFonts w:ascii="Times New Roman" w:hAnsi="Times New Roman" w:cs="Times New Roman"/>
        </w:rPr>
        <w:t xml:space="preserve">de impuesto </w:t>
      </w:r>
      <w:r w:rsidRPr="001C45DB">
        <w:rPr>
          <w:rFonts w:ascii="Times New Roman" w:hAnsi="Times New Roman" w:cs="Times New Roman"/>
        </w:rPr>
        <w:t>a la renta,</w:t>
      </w:r>
      <w:r w:rsidR="00A42FC0" w:rsidRPr="001C45DB">
        <w:rPr>
          <w:rFonts w:ascii="Times New Roman" w:hAnsi="Times New Roman" w:cs="Times New Roman"/>
        </w:rPr>
        <w:t xml:space="preserve"> estese a lo instruido en el Suplemento Tributario del año tributario 2016.</w:t>
      </w:r>
    </w:p>
    <w:p w:rsidR="00F6371C" w:rsidRDefault="00F6371C" w:rsidP="00724B99">
      <w:pPr>
        <w:spacing w:line="240" w:lineRule="auto"/>
        <w:jc w:val="both"/>
        <w:rPr>
          <w:rFonts w:ascii="Times New Roman" w:hAnsi="Times New Roman" w:cs="Times New Roman"/>
        </w:rPr>
      </w:pPr>
    </w:p>
    <w:p w:rsidR="006C2D9E" w:rsidRDefault="006C2D9E" w:rsidP="00724B99">
      <w:pPr>
        <w:spacing w:line="240" w:lineRule="auto"/>
        <w:jc w:val="both"/>
        <w:rPr>
          <w:rFonts w:ascii="Times New Roman" w:hAnsi="Times New Roman" w:cs="Times New Roman"/>
        </w:rPr>
      </w:pPr>
    </w:p>
    <w:p w:rsidR="006C2D9E" w:rsidRDefault="006C2D9E" w:rsidP="00724B99">
      <w:pPr>
        <w:spacing w:line="240" w:lineRule="auto"/>
        <w:jc w:val="both"/>
        <w:rPr>
          <w:rFonts w:ascii="Times New Roman" w:hAnsi="Times New Roman" w:cs="Times New Roman"/>
        </w:rPr>
      </w:pPr>
    </w:p>
    <w:p w:rsidR="006C2D9E" w:rsidRPr="001C45DB" w:rsidRDefault="006C2D9E" w:rsidP="00724B99">
      <w:pPr>
        <w:spacing w:line="240" w:lineRule="auto"/>
        <w:jc w:val="both"/>
        <w:rPr>
          <w:rFonts w:ascii="Times New Roman" w:hAnsi="Times New Roman" w:cs="Times New Roman"/>
        </w:rPr>
      </w:pPr>
    </w:p>
    <w:p w:rsidR="001B6CBD" w:rsidRPr="001C45DB" w:rsidRDefault="001B6CBD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1B6CBD" w:rsidRPr="001C45DB" w:rsidRDefault="001B6CBD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1206CC" w:rsidRPr="001C45DB" w:rsidRDefault="001206CC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  <w:r w:rsidRPr="001C45DB">
        <w:rPr>
          <w:rFonts w:ascii="Times New Roman" w:hAnsi="Times New Roman" w:cs="Times New Roman"/>
          <w:b/>
        </w:rPr>
        <w:t>FERNANDO BARRAZA LUENGO</w:t>
      </w:r>
    </w:p>
    <w:p w:rsidR="001206CC" w:rsidRDefault="001206CC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  <w:r w:rsidRPr="001C45DB">
        <w:rPr>
          <w:rFonts w:ascii="Times New Roman" w:hAnsi="Times New Roman" w:cs="Times New Roman"/>
          <w:b/>
        </w:rPr>
        <w:t>DIRECTOR</w:t>
      </w:r>
    </w:p>
    <w:p w:rsidR="006C2D9E" w:rsidRDefault="006C2D9E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6C2D9E" w:rsidRDefault="006C2D9E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6C2D9E" w:rsidRDefault="006C2D9E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6C2D9E" w:rsidRDefault="006C2D9E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6C2D9E" w:rsidRDefault="006C2D9E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6C2D9E" w:rsidRPr="001C45DB" w:rsidRDefault="006C2D9E" w:rsidP="00585F26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</w:rPr>
      </w:pPr>
    </w:p>
    <w:p w:rsidR="00585F26" w:rsidRPr="001C45DB" w:rsidRDefault="00585F26" w:rsidP="001206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5F26" w:rsidRDefault="006C2D9E" w:rsidP="006C2D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2478, de 05.09.2016</w:t>
      </w:r>
    </w:p>
    <w:p w:rsidR="006C2D9E" w:rsidRDefault="006C2D9E" w:rsidP="006C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6C2D9E" w:rsidRPr="006C2D9E" w:rsidRDefault="006C2D9E" w:rsidP="006C2D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Tributaria.</w:t>
      </w:r>
    </w:p>
    <w:sectPr w:rsidR="006C2D9E" w:rsidRPr="006C2D9E" w:rsidSect="00F53018">
      <w:headerReference w:type="default" r:id="rId8"/>
      <w:pgSz w:w="12242" w:h="18722" w:code="14"/>
      <w:pgMar w:top="1560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DA" w:rsidRDefault="00332FDA" w:rsidP="003E6BC1">
      <w:pPr>
        <w:spacing w:after="0" w:line="240" w:lineRule="auto"/>
      </w:pPr>
      <w:r>
        <w:separator/>
      </w:r>
    </w:p>
  </w:endnote>
  <w:endnote w:type="continuationSeparator" w:id="0">
    <w:p w:rsidR="00332FDA" w:rsidRDefault="00332FDA" w:rsidP="003E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DA" w:rsidRDefault="00332FDA" w:rsidP="003E6BC1">
      <w:pPr>
        <w:spacing w:after="0" w:line="240" w:lineRule="auto"/>
      </w:pPr>
      <w:r>
        <w:separator/>
      </w:r>
    </w:p>
  </w:footnote>
  <w:footnote w:type="continuationSeparator" w:id="0">
    <w:p w:rsidR="00332FDA" w:rsidRDefault="00332FDA" w:rsidP="003E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18321781"/>
      <w:docPartObj>
        <w:docPartGallery w:val="Page Numbers (Top of Page)"/>
        <w:docPartUnique/>
      </w:docPartObj>
    </w:sdtPr>
    <w:sdtEndPr/>
    <w:sdtContent>
      <w:p w:rsidR="00EF13ED" w:rsidRPr="00EF13ED" w:rsidRDefault="00EF13ED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EF13ED">
          <w:rPr>
            <w:rFonts w:ascii="Arial" w:hAnsi="Arial" w:cs="Arial"/>
            <w:sz w:val="16"/>
            <w:szCs w:val="16"/>
          </w:rPr>
          <w:fldChar w:fldCharType="begin"/>
        </w:r>
        <w:r w:rsidRPr="00EF13ED">
          <w:rPr>
            <w:rFonts w:ascii="Arial" w:hAnsi="Arial" w:cs="Arial"/>
            <w:sz w:val="16"/>
            <w:szCs w:val="16"/>
          </w:rPr>
          <w:instrText>PAGE   \* MERGEFORMAT</w:instrText>
        </w:r>
        <w:r w:rsidRPr="00EF13ED">
          <w:rPr>
            <w:rFonts w:ascii="Arial" w:hAnsi="Arial" w:cs="Arial"/>
            <w:sz w:val="16"/>
            <w:szCs w:val="16"/>
          </w:rPr>
          <w:fldChar w:fldCharType="separate"/>
        </w:r>
        <w:r w:rsidR="0089237E" w:rsidRPr="0089237E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EF13E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F13ED" w:rsidRPr="00EF13ED" w:rsidRDefault="00EF13ED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887"/>
    <w:multiLevelType w:val="hybridMultilevel"/>
    <w:tmpl w:val="6F9E8AC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B3D9C"/>
    <w:multiLevelType w:val="hybridMultilevel"/>
    <w:tmpl w:val="236C2A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3787"/>
    <w:multiLevelType w:val="hybridMultilevel"/>
    <w:tmpl w:val="E31892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7A0D"/>
    <w:multiLevelType w:val="hybridMultilevel"/>
    <w:tmpl w:val="C9706EC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311A2"/>
    <w:multiLevelType w:val="hybridMultilevel"/>
    <w:tmpl w:val="3CAABC54"/>
    <w:lvl w:ilvl="0" w:tplc="3D1A8D1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7302E64"/>
    <w:multiLevelType w:val="hybridMultilevel"/>
    <w:tmpl w:val="269A3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4296"/>
    <w:multiLevelType w:val="hybridMultilevel"/>
    <w:tmpl w:val="DFF6626E"/>
    <w:lvl w:ilvl="0" w:tplc="40BA82E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52E36"/>
    <w:multiLevelType w:val="hybridMultilevel"/>
    <w:tmpl w:val="0FDCB398"/>
    <w:lvl w:ilvl="0" w:tplc="093A4C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5A4C"/>
    <w:multiLevelType w:val="hybridMultilevel"/>
    <w:tmpl w:val="53704EC6"/>
    <w:lvl w:ilvl="0" w:tplc="3D1A8D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607DC1"/>
    <w:multiLevelType w:val="hybridMultilevel"/>
    <w:tmpl w:val="735CF98E"/>
    <w:lvl w:ilvl="0" w:tplc="8C3E9D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E234E"/>
    <w:multiLevelType w:val="hybridMultilevel"/>
    <w:tmpl w:val="6D78285E"/>
    <w:lvl w:ilvl="0" w:tplc="2CEE1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8"/>
    <w:rsid w:val="0000158B"/>
    <w:rsid w:val="00002B77"/>
    <w:rsid w:val="00021E69"/>
    <w:rsid w:val="000534F0"/>
    <w:rsid w:val="000B040F"/>
    <w:rsid w:val="000B6B17"/>
    <w:rsid w:val="000C0173"/>
    <w:rsid w:val="000C0641"/>
    <w:rsid w:val="000E79EB"/>
    <w:rsid w:val="001206CC"/>
    <w:rsid w:val="001371D6"/>
    <w:rsid w:val="0014410B"/>
    <w:rsid w:val="001B6CBD"/>
    <w:rsid w:val="001C09B0"/>
    <w:rsid w:val="001C1277"/>
    <w:rsid w:val="001C45DB"/>
    <w:rsid w:val="00221F18"/>
    <w:rsid w:val="00222487"/>
    <w:rsid w:val="00252D91"/>
    <w:rsid w:val="00255A99"/>
    <w:rsid w:val="00267EF4"/>
    <w:rsid w:val="00276A77"/>
    <w:rsid w:val="002D22A4"/>
    <w:rsid w:val="00310DC3"/>
    <w:rsid w:val="00332FDA"/>
    <w:rsid w:val="003464A8"/>
    <w:rsid w:val="00372F1F"/>
    <w:rsid w:val="0038478A"/>
    <w:rsid w:val="0038679D"/>
    <w:rsid w:val="003E6BC1"/>
    <w:rsid w:val="003F5F84"/>
    <w:rsid w:val="0041556E"/>
    <w:rsid w:val="00421559"/>
    <w:rsid w:val="0044330E"/>
    <w:rsid w:val="00443356"/>
    <w:rsid w:val="00456666"/>
    <w:rsid w:val="00457CE5"/>
    <w:rsid w:val="0046366F"/>
    <w:rsid w:val="0046708E"/>
    <w:rsid w:val="0049447D"/>
    <w:rsid w:val="004A242E"/>
    <w:rsid w:val="004B0579"/>
    <w:rsid w:val="004B144B"/>
    <w:rsid w:val="004B4B42"/>
    <w:rsid w:val="004E7E3D"/>
    <w:rsid w:val="005014BD"/>
    <w:rsid w:val="005225CD"/>
    <w:rsid w:val="00524E70"/>
    <w:rsid w:val="00525470"/>
    <w:rsid w:val="0053442C"/>
    <w:rsid w:val="00550735"/>
    <w:rsid w:val="00556921"/>
    <w:rsid w:val="0056242B"/>
    <w:rsid w:val="00563FB1"/>
    <w:rsid w:val="0058375D"/>
    <w:rsid w:val="00585F26"/>
    <w:rsid w:val="005B39D0"/>
    <w:rsid w:val="005C36D8"/>
    <w:rsid w:val="005D5131"/>
    <w:rsid w:val="005F3914"/>
    <w:rsid w:val="00631486"/>
    <w:rsid w:val="00644DFE"/>
    <w:rsid w:val="00667927"/>
    <w:rsid w:val="0067072A"/>
    <w:rsid w:val="006A0753"/>
    <w:rsid w:val="006A2991"/>
    <w:rsid w:val="006B320E"/>
    <w:rsid w:val="006C2D9E"/>
    <w:rsid w:val="006F12A8"/>
    <w:rsid w:val="006F59AF"/>
    <w:rsid w:val="00703A80"/>
    <w:rsid w:val="00712F43"/>
    <w:rsid w:val="0072021A"/>
    <w:rsid w:val="0072151A"/>
    <w:rsid w:val="00724B99"/>
    <w:rsid w:val="007364A5"/>
    <w:rsid w:val="00737B38"/>
    <w:rsid w:val="007573B8"/>
    <w:rsid w:val="00760D1A"/>
    <w:rsid w:val="007639AB"/>
    <w:rsid w:val="00770528"/>
    <w:rsid w:val="00783243"/>
    <w:rsid w:val="007856E0"/>
    <w:rsid w:val="007A5CA4"/>
    <w:rsid w:val="007F753D"/>
    <w:rsid w:val="00804F7B"/>
    <w:rsid w:val="0083229F"/>
    <w:rsid w:val="00844667"/>
    <w:rsid w:val="0084560C"/>
    <w:rsid w:val="00847379"/>
    <w:rsid w:val="00877D84"/>
    <w:rsid w:val="008808CD"/>
    <w:rsid w:val="0089237E"/>
    <w:rsid w:val="00894CFF"/>
    <w:rsid w:val="008A3219"/>
    <w:rsid w:val="008E2953"/>
    <w:rsid w:val="008F0233"/>
    <w:rsid w:val="00914C35"/>
    <w:rsid w:val="00953B98"/>
    <w:rsid w:val="009E5C69"/>
    <w:rsid w:val="009F0BB0"/>
    <w:rsid w:val="00A071E0"/>
    <w:rsid w:val="00A163A3"/>
    <w:rsid w:val="00A36F29"/>
    <w:rsid w:val="00A42FC0"/>
    <w:rsid w:val="00A7481A"/>
    <w:rsid w:val="00A805D6"/>
    <w:rsid w:val="00A85D7B"/>
    <w:rsid w:val="00A87218"/>
    <w:rsid w:val="00A912F3"/>
    <w:rsid w:val="00A94B0B"/>
    <w:rsid w:val="00AA1370"/>
    <w:rsid w:val="00AA6BB4"/>
    <w:rsid w:val="00AC6AEC"/>
    <w:rsid w:val="00AF05F3"/>
    <w:rsid w:val="00B226C2"/>
    <w:rsid w:val="00B37F6F"/>
    <w:rsid w:val="00B62458"/>
    <w:rsid w:val="00B6523C"/>
    <w:rsid w:val="00B95582"/>
    <w:rsid w:val="00BA452B"/>
    <w:rsid w:val="00BB11AB"/>
    <w:rsid w:val="00BE292E"/>
    <w:rsid w:val="00BE5A72"/>
    <w:rsid w:val="00C33D2A"/>
    <w:rsid w:val="00C65103"/>
    <w:rsid w:val="00C77DF6"/>
    <w:rsid w:val="00C92DA0"/>
    <w:rsid w:val="00CA44C5"/>
    <w:rsid w:val="00CB014E"/>
    <w:rsid w:val="00CB5D1D"/>
    <w:rsid w:val="00CD6BB4"/>
    <w:rsid w:val="00CD7F40"/>
    <w:rsid w:val="00CF3C2B"/>
    <w:rsid w:val="00CF66D4"/>
    <w:rsid w:val="00D07CF9"/>
    <w:rsid w:val="00D33E60"/>
    <w:rsid w:val="00D42051"/>
    <w:rsid w:val="00D550B7"/>
    <w:rsid w:val="00D56E26"/>
    <w:rsid w:val="00D91EED"/>
    <w:rsid w:val="00D96C47"/>
    <w:rsid w:val="00DB7271"/>
    <w:rsid w:val="00DD45AA"/>
    <w:rsid w:val="00DE0A06"/>
    <w:rsid w:val="00E07D5B"/>
    <w:rsid w:val="00E127D2"/>
    <w:rsid w:val="00E536A6"/>
    <w:rsid w:val="00E65B74"/>
    <w:rsid w:val="00EB5AEF"/>
    <w:rsid w:val="00ED0361"/>
    <w:rsid w:val="00EE675E"/>
    <w:rsid w:val="00EF01BB"/>
    <w:rsid w:val="00EF13ED"/>
    <w:rsid w:val="00F523F6"/>
    <w:rsid w:val="00F53018"/>
    <w:rsid w:val="00F5656A"/>
    <w:rsid w:val="00F6371C"/>
    <w:rsid w:val="00FA7AAE"/>
    <w:rsid w:val="00FB4254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D7C9-CE80-4E92-AF3D-8AA6ED7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F8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E6B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B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6B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5D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6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67927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F1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3ED"/>
  </w:style>
  <w:style w:type="paragraph" w:styleId="Piedepgina">
    <w:name w:val="footer"/>
    <w:basedOn w:val="Normal"/>
    <w:link w:val="PiedepginaCar"/>
    <w:uiPriority w:val="99"/>
    <w:unhideWhenUsed/>
    <w:rsid w:val="00EF1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3ED"/>
  </w:style>
  <w:style w:type="paragraph" w:customStyle="1" w:styleId="Default">
    <w:name w:val="Default"/>
    <w:rsid w:val="00C33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AB40-9287-421C-9CF4-C1D16B44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5</cp:revision>
  <cp:lastPrinted>2016-08-09T16:51:00Z</cp:lastPrinted>
  <dcterms:created xsi:type="dcterms:W3CDTF">2016-09-05T19:54:00Z</dcterms:created>
  <dcterms:modified xsi:type="dcterms:W3CDTF">2016-09-23T19:01:00Z</dcterms:modified>
</cp:coreProperties>
</file>