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B" w:rsidRDefault="00B24EAB" w:rsidP="00B24EAB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es-CL"/>
        </w:rPr>
      </w:pPr>
      <w:r w:rsidRPr="00B24EAB">
        <w:rPr>
          <w:rFonts w:ascii="Times New Roman" w:eastAsia="Times New Roman" w:hAnsi="Times New Roman" w:cs="Times New Roman"/>
          <w:b/>
          <w:lang w:eastAsia="es-CL"/>
        </w:rPr>
        <w:t>RENTA – ACTUAL LEY SOBRE IMPUESTO A LA – ART. 31, N°7 – LEY N° 18.681, ART. 69 – LEY N° 20.241, ART. 5 – LEY N° 20.570, ART. 30, N° 15 – CIRCULAR N° 19, DE 2013. (ORD. N° 881, DE 05.04.2016)</w:t>
      </w:r>
    </w:p>
    <w:p w:rsidR="00B24EAB" w:rsidRPr="00B24EAB" w:rsidRDefault="00B24EAB" w:rsidP="00B24EAB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s-CL"/>
        </w:rPr>
        <w:tab/>
      </w:r>
    </w:p>
    <w:p w:rsidR="00873BDF" w:rsidRPr="00D64BAA" w:rsidRDefault="005B0C66" w:rsidP="00D64BAA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es-CL"/>
        </w:rPr>
      </w:pPr>
      <w:r w:rsidRPr="00D64BAA">
        <w:rPr>
          <w:rFonts w:ascii="Times New Roman" w:eastAsia="Times New Roman" w:hAnsi="Times New Roman" w:cs="Times New Roman"/>
          <w:b/>
          <w:lang w:eastAsia="es-CL"/>
        </w:rPr>
        <w:t>Creación de i</w:t>
      </w:r>
      <w:r w:rsidR="00873BDF" w:rsidRPr="00D64BAA">
        <w:rPr>
          <w:rFonts w:ascii="Times New Roman" w:eastAsia="Times New Roman" w:hAnsi="Times New Roman" w:cs="Times New Roman"/>
          <w:b/>
          <w:lang w:eastAsia="es-CL"/>
        </w:rPr>
        <w:t>ncentivos tributarios para la investigación, conser</w:t>
      </w:r>
      <w:r w:rsidR="00BE7272" w:rsidRPr="00D64BAA">
        <w:rPr>
          <w:rFonts w:ascii="Times New Roman" w:eastAsia="Times New Roman" w:hAnsi="Times New Roman" w:cs="Times New Roman"/>
          <w:b/>
          <w:lang w:eastAsia="es-CL"/>
        </w:rPr>
        <w:t>vación y administración de ADN b</w:t>
      </w:r>
      <w:r w:rsidR="00873BDF" w:rsidRPr="00D64BAA">
        <w:rPr>
          <w:rFonts w:ascii="Times New Roman" w:eastAsia="Times New Roman" w:hAnsi="Times New Roman" w:cs="Times New Roman"/>
          <w:b/>
          <w:lang w:eastAsia="es-CL"/>
        </w:rPr>
        <w:t>ovino.</w:t>
      </w:r>
    </w:p>
    <w:p w:rsidR="00EE1ACC" w:rsidRPr="00FC7A74" w:rsidRDefault="00EE1ACC" w:rsidP="005B0C66">
      <w:pPr>
        <w:spacing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FC7A74">
        <w:rPr>
          <w:rFonts w:ascii="Times New Roman" w:eastAsia="Times New Roman" w:hAnsi="Times New Roman" w:cs="Times New Roman"/>
          <w:lang w:val="es-ES" w:eastAsia="es-ES"/>
        </w:rPr>
        <w:t xml:space="preserve">Se ha </w:t>
      </w:r>
      <w:r w:rsidR="008D7ADD" w:rsidRPr="00FC7A74">
        <w:rPr>
          <w:rFonts w:ascii="Times New Roman" w:eastAsia="Times New Roman" w:hAnsi="Times New Roman" w:cs="Times New Roman"/>
          <w:lang w:val="es-ES" w:eastAsia="es-ES"/>
        </w:rPr>
        <w:t xml:space="preserve">remitido </w:t>
      </w:r>
      <w:r w:rsidRPr="00FC7A74">
        <w:rPr>
          <w:rFonts w:ascii="Times New Roman" w:eastAsia="Times New Roman" w:hAnsi="Times New Roman" w:cs="Times New Roman"/>
          <w:lang w:val="es-ES" w:eastAsia="es-ES"/>
        </w:rPr>
        <w:t>a este Servicio</w:t>
      </w:r>
      <w:r w:rsidR="005B0C66" w:rsidRPr="00FC7A7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AD4603" w:rsidRPr="00FC7A74">
        <w:rPr>
          <w:rFonts w:ascii="Times New Roman" w:eastAsia="Times New Roman" w:hAnsi="Times New Roman" w:cs="Times New Roman"/>
          <w:lang w:val="es-ES" w:eastAsia="es-ES"/>
        </w:rPr>
        <w:t>el P</w:t>
      </w:r>
      <w:r w:rsidR="005B0C66" w:rsidRPr="00FC7A74">
        <w:rPr>
          <w:rFonts w:ascii="Times New Roman" w:eastAsia="Times New Roman" w:hAnsi="Times New Roman" w:cs="Times New Roman"/>
          <w:lang w:val="es-ES" w:eastAsia="es-ES"/>
        </w:rPr>
        <w:t xml:space="preserve">royecto de </w:t>
      </w:r>
      <w:r w:rsidR="00AD4603" w:rsidRPr="00FC7A74">
        <w:rPr>
          <w:rFonts w:ascii="Times New Roman" w:eastAsia="Times New Roman" w:hAnsi="Times New Roman" w:cs="Times New Roman"/>
          <w:lang w:val="es-ES" w:eastAsia="es-ES"/>
        </w:rPr>
        <w:t xml:space="preserve">Resolución de la </w:t>
      </w:r>
      <w:r w:rsidR="005B0C66" w:rsidRPr="00FC7A74">
        <w:rPr>
          <w:rFonts w:ascii="Times New Roman" w:eastAsia="Times New Roman" w:hAnsi="Times New Roman" w:cs="Times New Roman"/>
          <w:lang w:val="es-ES" w:eastAsia="es-ES"/>
        </w:rPr>
        <w:t>H. Cámara de Diputados</w:t>
      </w:r>
      <w:r w:rsidR="00AD4603" w:rsidRPr="00FC7A74">
        <w:rPr>
          <w:rFonts w:ascii="Times New Roman" w:eastAsia="Times New Roman" w:hAnsi="Times New Roman" w:cs="Times New Roman"/>
          <w:lang w:val="es-ES" w:eastAsia="es-ES"/>
        </w:rPr>
        <w:t>, para elaborar una propuesta de respuesta</w:t>
      </w:r>
      <w:r w:rsidR="008D7ADD" w:rsidRPr="00FC7A74">
        <w:rPr>
          <w:rFonts w:ascii="Times New Roman" w:eastAsia="Times New Roman" w:hAnsi="Times New Roman" w:cs="Times New Roman"/>
          <w:lang w:val="es-ES" w:eastAsia="es-ES"/>
        </w:rPr>
        <w:t xml:space="preserve"> al tenor de lo solicitado.</w:t>
      </w:r>
    </w:p>
    <w:p w:rsidR="00EE1ACC" w:rsidRPr="00FC7A74" w:rsidRDefault="00EE1ACC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C7A74">
        <w:rPr>
          <w:rFonts w:ascii="Times New Roman" w:hAnsi="Times New Roman" w:cs="Times New Roman"/>
          <w:b/>
        </w:rPr>
        <w:t>I</w:t>
      </w:r>
      <w:r w:rsidRPr="00FC7A74">
        <w:rPr>
          <w:rFonts w:ascii="Times New Roman" w:hAnsi="Times New Roman" w:cs="Times New Roman"/>
          <w:b/>
        </w:rPr>
        <w:tab/>
        <w:t>ANTECEDENTES</w:t>
      </w:r>
    </w:p>
    <w:p w:rsidR="00AD4603" w:rsidRPr="00FC7A74" w:rsidRDefault="00AD4603" w:rsidP="00AD4603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El Proyecto de Resolución referido en el antecedente</w:t>
      </w:r>
      <w:r w:rsidR="00EE1ACC" w:rsidRPr="00FC7A74">
        <w:rPr>
          <w:rFonts w:ascii="Times New Roman" w:hAnsi="Times New Roman" w:cs="Times New Roman"/>
        </w:rPr>
        <w:t xml:space="preserve"> expone </w:t>
      </w:r>
      <w:r w:rsidRPr="00FC7A74">
        <w:rPr>
          <w:rFonts w:ascii="Times New Roman" w:hAnsi="Times New Roman" w:cs="Times New Roman"/>
        </w:rPr>
        <w:t xml:space="preserve">que </w:t>
      </w:r>
      <w:r w:rsidR="00A74CA3" w:rsidRPr="00FC7A74">
        <w:rPr>
          <w:rFonts w:ascii="Times New Roman" w:hAnsi="Times New Roman" w:cs="Times New Roman"/>
        </w:rPr>
        <w:t>la actividad ganadera es de una relevancia indiscutible para nuestro país y que</w:t>
      </w:r>
      <w:r w:rsidR="00F165EE" w:rsidRPr="00FC7A74">
        <w:rPr>
          <w:rFonts w:ascii="Times New Roman" w:hAnsi="Times New Roman" w:cs="Times New Roman"/>
        </w:rPr>
        <w:t>,</w:t>
      </w:r>
      <w:r w:rsidR="00A74CA3" w:rsidRPr="00FC7A74">
        <w:rPr>
          <w:rFonts w:ascii="Times New Roman" w:hAnsi="Times New Roman" w:cs="Times New Roman"/>
        </w:rPr>
        <w:t xml:space="preserve"> por lo mismo, existen distintas herramientas para apoyar esta actividad, desde planes especiales de subsidios, hasta sistemas alternativos de tributación.</w:t>
      </w:r>
    </w:p>
    <w:p w:rsidR="00A74CA3" w:rsidRPr="00FC7A74" w:rsidRDefault="00AD4603" w:rsidP="00AD4603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Agrega que el apoyo </w:t>
      </w:r>
      <w:r w:rsidR="00F165EE" w:rsidRPr="00FC7A74">
        <w:rPr>
          <w:rFonts w:ascii="Times New Roman" w:hAnsi="Times New Roman" w:cs="Times New Roman"/>
        </w:rPr>
        <w:t xml:space="preserve">del </w:t>
      </w:r>
      <w:r w:rsidRPr="00FC7A74">
        <w:rPr>
          <w:rFonts w:ascii="Times New Roman" w:hAnsi="Times New Roman" w:cs="Times New Roman"/>
        </w:rPr>
        <w:t xml:space="preserve">Estado es clave para que los particulares puedan desarrollar de la mejor manera posible el rubro ganadero, </w:t>
      </w:r>
      <w:r w:rsidR="00FF42AB" w:rsidRPr="00FC7A74">
        <w:rPr>
          <w:rFonts w:ascii="Times New Roman" w:hAnsi="Times New Roman" w:cs="Times New Roman"/>
        </w:rPr>
        <w:t>el que enfrenta problemas por la existencia de robos o hurtos de ganado</w:t>
      </w:r>
      <w:r w:rsidR="00E04D14" w:rsidRPr="00FC7A74">
        <w:rPr>
          <w:rFonts w:ascii="Times New Roman" w:hAnsi="Times New Roman" w:cs="Times New Roman"/>
        </w:rPr>
        <w:t xml:space="preserve">, lo que ha llevado a contemplar iniciativas legales en orden a reforzar la protección del ganado, citando al efecto la Ley N° </w:t>
      </w:r>
      <w:r w:rsidR="00593DB2" w:rsidRPr="00FC7A74">
        <w:rPr>
          <w:rFonts w:ascii="Times New Roman" w:hAnsi="Times New Roman" w:cs="Times New Roman"/>
        </w:rPr>
        <w:t>20.596.</w:t>
      </w:r>
    </w:p>
    <w:p w:rsidR="00E52A85" w:rsidRPr="00FC7A74" w:rsidRDefault="00BE7272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Para apoyar esa protección, indica que se han desarrollado tecnologías que permiten comenzar a investigar temas relacionados con el ADN bovino, lo que significa un paso adelante en investigación e innovación científica</w:t>
      </w:r>
      <w:r w:rsidR="00DF719D" w:rsidRPr="00FC7A74">
        <w:rPr>
          <w:rFonts w:ascii="Times New Roman" w:hAnsi="Times New Roman" w:cs="Times New Roman"/>
        </w:rPr>
        <w:t xml:space="preserve"> </w:t>
      </w:r>
      <w:r w:rsidR="005F365A" w:rsidRPr="00FC7A74">
        <w:rPr>
          <w:rFonts w:ascii="Times New Roman" w:hAnsi="Times New Roman" w:cs="Times New Roman"/>
        </w:rPr>
        <w:t>que permitiría contar con evidencia técnica</w:t>
      </w:r>
      <w:r w:rsidR="00062A82" w:rsidRPr="00FC7A74">
        <w:rPr>
          <w:rFonts w:ascii="Times New Roman" w:hAnsi="Times New Roman" w:cs="Times New Roman"/>
        </w:rPr>
        <w:t xml:space="preserve"> incorporada en un b</w:t>
      </w:r>
      <w:r w:rsidR="00865C22" w:rsidRPr="00FC7A74">
        <w:rPr>
          <w:rFonts w:ascii="Times New Roman" w:hAnsi="Times New Roman" w:cs="Times New Roman"/>
        </w:rPr>
        <w:t>anco de ADN bovino</w:t>
      </w:r>
      <w:r w:rsidR="00DF719D" w:rsidRPr="00FC7A74">
        <w:rPr>
          <w:rFonts w:ascii="Times New Roman" w:hAnsi="Times New Roman" w:cs="Times New Roman"/>
        </w:rPr>
        <w:t xml:space="preserve"> que serviría</w:t>
      </w:r>
      <w:r w:rsidR="005F365A" w:rsidRPr="00FC7A74">
        <w:rPr>
          <w:rFonts w:ascii="Times New Roman" w:hAnsi="Times New Roman" w:cs="Times New Roman"/>
        </w:rPr>
        <w:t xml:space="preserve"> para</w:t>
      </w:r>
      <w:r w:rsidR="00865C22" w:rsidRPr="00FC7A74">
        <w:rPr>
          <w:rFonts w:ascii="Times New Roman" w:hAnsi="Times New Roman" w:cs="Times New Roman"/>
        </w:rPr>
        <w:t xml:space="preserve"> identificar y rastrear animales sustraídos</w:t>
      </w:r>
      <w:r w:rsidR="00DF719D" w:rsidRPr="00FC7A74">
        <w:rPr>
          <w:rFonts w:ascii="Times New Roman" w:hAnsi="Times New Roman" w:cs="Times New Roman"/>
        </w:rPr>
        <w:t xml:space="preserve"> y de este modo</w:t>
      </w:r>
      <w:r w:rsidR="005F365A" w:rsidRPr="00FC7A74">
        <w:rPr>
          <w:rFonts w:ascii="Times New Roman" w:hAnsi="Times New Roman" w:cs="Times New Roman"/>
        </w:rPr>
        <w:t xml:space="preserve"> fiscalizar y sancionar el delito de abigeato, citando al efecto experiencias desarrolladas en otros países.</w:t>
      </w:r>
    </w:p>
    <w:p w:rsidR="00990126" w:rsidRPr="00FC7A74" w:rsidRDefault="00101A9C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Por lo expuesto, se solicita la implementación de diversas medidas, entre las cuales se </w:t>
      </w:r>
      <w:r w:rsidR="00062A82" w:rsidRPr="00FC7A74">
        <w:rPr>
          <w:rFonts w:ascii="Times New Roman" w:hAnsi="Times New Roman" w:cs="Times New Roman"/>
        </w:rPr>
        <w:t>solicita</w:t>
      </w:r>
      <w:r w:rsidRPr="00FC7A74">
        <w:rPr>
          <w:rFonts w:ascii="Times New Roman" w:hAnsi="Times New Roman" w:cs="Times New Roman"/>
        </w:rPr>
        <w:t xml:space="preserve"> al Ministro de Hacienda </w:t>
      </w:r>
      <w:r w:rsidR="00062A82" w:rsidRPr="00FC7A74">
        <w:rPr>
          <w:rFonts w:ascii="Times New Roman" w:hAnsi="Times New Roman" w:cs="Times New Roman"/>
        </w:rPr>
        <w:t xml:space="preserve">el </w:t>
      </w:r>
      <w:r w:rsidRPr="00FC7A74">
        <w:rPr>
          <w:rFonts w:ascii="Times New Roman" w:hAnsi="Times New Roman" w:cs="Times New Roman"/>
        </w:rPr>
        <w:t>enví</w:t>
      </w:r>
      <w:r w:rsidR="00062A82" w:rsidRPr="00FC7A74">
        <w:rPr>
          <w:rFonts w:ascii="Times New Roman" w:hAnsi="Times New Roman" w:cs="Times New Roman"/>
        </w:rPr>
        <w:t>o</w:t>
      </w:r>
      <w:r w:rsidRPr="00FC7A74">
        <w:rPr>
          <w:rFonts w:ascii="Times New Roman" w:hAnsi="Times New Roman" w:cs="Times New Roman"/>
        </w:rPr>
        <w:t xml:space="preserve"> </w:t>
      </w:r>
      <w:r w:rsidR="00062A82" w:rsidRPr="00FC7A74">
        <w:rPr>
          <w:rFonts w:ascii="Times New Roman" w:hAnsi="Times New Roman" w:cs="Times New Roman"/>
        </w:rPr>
        <w:t>de</w:t>
      </w:r>
      <w:r w:rsidRPr="00FC7A74">
        <w:rPr>
          <w:rFonts w:ascii="Times New Roman" w:hAnsi="Times New Roman" w:cs="Times New Roman"/>
        </w:rPr>
        <w:t xml:space="preserve"> un proyecto de ley que cree incentivos tributarios, consistentes en descuentos, créditos o rebajas en los </w:t>
      </w:r>
      <w:r w:rsidR="00062A82" w:rsidRPr="00FC7A74">
        <w:rPr>
          <w:rFonts w:ascii="Times New Roman" w:hAnsi="Times New Roman" w:cs="Times New Roman"/>
        </w:rPr>
        <w:t>i</w:t>
      </w:r>
      <w:r w:rsidR="00990126" w:rsidRPr="00FC7A74">
        <w:rPr>
          <w:rFonts w:ascii="Times New Roman" w:hAnsi="Times New Roman" w:cs="Times New Roman"/>
        </w:rPr>
        <w:t xml:space="preserve">mpuestos a la </w:t>
      </w:r>
      <w:r w:rsidR="00062A82" w:rsidRPr="00FC7A74">
        <w:rPr>
          <w:rFonts w:ascii="Times New Roman" w:hAnsi="Times New Roman" w:cs="Times New Roman"/>
        </w:rPr>
        <w:t>r</w:t>
      </w:r>
      <w:r w:rsidR="00990126" w:rsidRPr="00FC7A74">
        <w:rPr>
          <w:rFonts w:ascii="Times New Roman" w:hAnsi="Times New Roman" w:cs="Times New Roman"/>
        </w:rPr>
        <w:t>enta u otros, junto con beneficios por la contratación de jóvenes, mujeres y adultos mayores, para el desarrollo de estas actividades, para que contribuyentes particulares puedan desarrollar la investigación, conservación y administración de ADN bovino.</w:t>
      </w:r>
    </w:p>
    <w:p w:rsidR="00EE1ACC" w:rsidRPr="00FC7A74" w:rsidRDefault="00EE1ACC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C7A74">
        <w:rPr>
          <w:rFonts w:ascii="Times New Roman" w:hAnsi="Times New Roman" w:cs="Times New Roman"/>
          <w:b/>
        </w:rPr>
        <w:t>II</w:t>
      </w:r>
      <w:r w:rsidRPr="00FC7A74">
        <w:rPr>
          <w:rFonts w:ascii="Times New Roman" w:hAnsi="Times New Roman" w:cs="Times New Roman"/>
          <w:b/>
        </w:rPr>
        <w:tab/>
        <w:t>ANÁLISIS</w:t>
      </w:r>
    </w:p>
    <w:p w:rsidR="00F165EE" w:rsidRPr="00FC7A74" w:rsidRDefault="00F165EE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Atendida la redacción del Proyecto de Resolución, este Servicio entiende que lo solicitado son, por una parte, beneficios consistentes en descuentos, créditos o rebajas en los impuestos a la renta u otros, para el desarrollo de estas actividades y que contribuyentes particulares puedan desarrollar la investigación, conservación y administración de ADN bovino</w:t>
      </w:r>
      <w:r w:rsidR="00EA6AB1" w:rsidRPr="00FC7A74">
        <w:rPr>
          <w:rFonts w:ascii="Times New Roman" w:hAnsi="Times New Roman" w:cs="Times New Roman"/>
        </w:rPr>
        <w:t>; y, por otra (junto con) beneficios por la contratación de jóvenes, mujeres y adultos mayores.</w:t>
      </w:r>
    </w:p>
    <w:p w:rsidR="00062A82" w:rsidRPr="00FC7A74" w:rsidRDefault="00701502" w:rsidP="00701502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En ese sentido, respecto de las materias tributarias, puede </w:t>
      </w:r>
      <w:r w:rsidR="00551EAD" w:rsidRPr="00FC7A74">
        <w:rPr>
          <w:rFonts w:ascii="Times New Roman" w:hAnsi="Times New Roman" w:cs="Times New Roman"/>
        </w:rPr>
        <w:t>informa</w:t>
      </w:r>
      <w:r w:rsidRPr="00FC7A74">
        <w:rPr>
          <w:rFonts w:ascii="Times New Roman" w:hAnsi="Times New Roman" w:cs="Times New Roman"/>
        </w:rPr>
        <w:t>rse</w:t>
      </w:r>
      <w:r w:rsidR="00551EAD" w:rsidRPr="00FC7A74">
        <w:rPr>
          <w:rFonts w:ascii="Times New Roman" w:hAnsi="Times New Roman" w:cs="Times New Roman"/>
        </w:rPr>
        <w:t xml:space="preserve"> </w:t>
      </w:r>
      <w:r w:rsidR="00062A82" w:rsidRPr="00FC7A74">
        <w:rPr>
          <w:rFonts w:ascii="Times New Roman" w:hAnsi="Times New Roman" w:cs="Times New Roman"/>
        </w:rPr>
        <w:t xml:space="preserve">que ya existen en nuestra </w:t>
      </w:r>
      <w:r w:rsidR="002806A4" w:rsidRPr="00FC7A74">
        <w:rPr>
          <w:rFonts w:ascii="Times New Roman" w:hAnsi="Times New Roman" w:cs="Times New Roman"/>
        </w:rPr>
        <w:t>legislación mecanismos para incentivar la inversión privada en investigación y desarrollo</w:t>
      </w:r>
      <w:r w:rsidR="00062A82" w:rsidRPr="00FC7A74">
        <w:rPr>
          <w:rFonts w:ascii="Times New Roman" w:hAnsi="Times New Roman" w:cs="Times New Roman"/>
        </w:rPr>
        <w:t>, en general</w:t>
      </w:r>
      <w:r w:rsidR="00551EAD" w:rsidRPr="00FC7A74">
        <w:rPr>
          <w:rFonts w:ascii="Times New Roman" w:hAnsi="Times New Roman" w:cs="Times New Roman"/>
        </w:rPr>
        <w:t>, los cuales podrían ser utilizados en el presente caso</w:t>
      </w:r>
      <w:r w:rsidR="00062A82" w:rsidRPr="00FC7A74">
        <w:rPr>
          <w:rFonts w:ascii="Times New Roman" w:hAnsi="Times New Roman" w:cs="Times New Roman"/>
        </w:rPr>
        <w:t>.</w:t>
      </w:r>
    </w:p>
    <w:p w:rsidR="004E00EA" w:rsidRPr="00FC7A74" w:rsidRDefault="004E00EA" w:rsidP="004E00EA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Por de pronto, puede mencionarse lo dispuesto en el artículo 69 de la Ley N° 18.681 (donaciones a universidades e institutos profesionales estatales y particulares reconocidos por el Estado). </w:t>
      </w:r>
    </w:p>
    <w:p w:rsidR="004E00EA" w:rsidRPr="00FC7A74" w:rsidRDefault="004E00EA" w:rsidP="004E00EA">
      <w:pPr>
        <w:spacing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FC7A74">
        <w:rPr>
          <w:rFonts w:ascii="Times New Roman" w:hAnsi="Times New Roman" w:cs="Times New Roman"/>
        </w:rPr>
        <w:t>La norma</w:t>
      </w:r>
      <w:r w:rsidRPr="00FC7A74">
        <w:rPr>
          <w:rFonts w:ascii="Times New Roman" w:hAnsi="Times New Roman" w:cs="Times New Roman"/>
          <w:bCs/>
          <w:lang w:val="es-ES_tradnl"/>
        </w:rPr>
        <w:t xml:space="preserve"> establece un beneficio tributario consistente en un crédito fiscal imputable a los impuestos anuales a la renta, en favor de quienes efectúen donaciones a universidades e institutos profesionales estatales y particulares reconocidos por el Estado; regulando además el tratamiento tributario de tales donaciones, tanto desde el punto de vista del donante, como del donatario. </w:t>
      </w:r>
    </w:p>
    <w:p w:rsidR="004E00EA" w:rsidRPr="00FC7A74" w:rsidRDefault="004E00EA" w:rsidP="004E00EA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  <w:bCs/>
          <w:lang w:val="es-ES_tradnl"/>
        </w:rPr>
        <w:t>La parte de la donación, dentro del límite legal absoluto, que no puede ser utilizada como crédito, se sujeta a lo dispuesto por el artículo 31 N° 7 de la Ley sobre Impuesto a la Renta. Es decir se acepta como gasto tributario sólo hasta el monto que no exceda al 2% de la renta líquida imponible del impuesto de primera categoría del donante o del 1,6%</w:t>
      </w:r>
      <w:r w:rsidRPr="00FC7A74">
        <w:rPr>
          <w:rFonts w:ascii="Times New Roman" w:hAnsi="Times New Roman" w:cs="Times New Roman"/>
          <w:bCs/>
          <w:vertAlign w:val="subscript"/>
          <w:lang w:val="es-ES_tradnl"/>
        </w:rPr>
        <w:t>0</w:t>
      </w:r>
      <w:r w:rsidRPr="00FC7A74">
        <w:rPr>
          <w:rFonts w:ascii="Times New Roman" w:hAnsi="Times New Roman" w:cs="Times New Roman"/>
          <w:bCs/>
          <w:lang w:val="es-ES_tradnl"/>
        </w:rPr>
        <w:t xml:space="preserve"> de su capital propio</w:t>
      </w:r>
      <w:r w:rsidRPr="00FC7A74">
        <w:rPr>
          <w:rFonts w:ascii="Times New Roman" w:hAnsi="Times New Roman" w:cs="Times New Roman"/>
        </w:rPr>
        <w:t xml:space="preserve">. </w:t>
      </w:r>
    </w:p>
    <w:p w:rsidR="004E00EA" w:rsidRPr="00FC7A74" w:rsidRDefault="004E00EA" w:rsidP="004E00EA">
      <w:pPr>
        <w:spacing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FC7A74">
        <w:rPr>
          <w:rFonts w:ascii="Times New Roman" w:hAnsi="Times New Roman" w:cs="Times New Roman"/>
        </w:rPr>
        <w:t xml:space="preserve">Entre los </w:t>
      </w:r>
      <w:r w:rsidRPr="00FC7A74">
        <w:rPr>
          <w:rFonts w:ascii="Times New Roman" w:hAnsi="Times New Roman" w:cs="Times New Roman"/>
          <w:bCs/>
          <w:lang w:val="es-ES_tradnl"/>
        </w:rPr>
        <w:t>requisitos generales que deben cumplir, las donaciones deben consistir sólo en dinero y estar destinadas a financiar, entre otras cuestiones, proyectos de investigación emprendidos por las instituciones donatarias.</w:t>
      </w:r>
    </w:p>
    <w:p w:rsidR="00062A82" w:rsidRPr="00FC7A74" w:rsidRDefault="004E00EA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Asimismo, como mecanismo alternativo de incentivos tributarios relacionados con la investigación, cabe señalar </w:t>
      </w:r>
      <w:r w:rsidR="004028DA" w:rsidRPr="00FC7A74">
        <w:rPr>
          <w:rFonts w:ascii="Times New Roman" w:hAnsi="Times New Roman" w:cs="Times New Roman"/>
        </w:rPr>
        <w:t>la Ley N° 20.241, modificada por la Ley N° 20.570</w:t>
      </w:r>
      <w:r w:rsidR="00701502" w:rsidRPr="00FC7A74">
        <w:rPr>
          <w:rFonts w:ascii="Times New Roman" w:hAnsi="Times New Roman" w:cs="Times New Roman"/>
        </w:rPr>
        <w:t xml:space="preserve">, </w:t>
      </w:r>
      <w:r w:rsidRPr="00FC7A74">
        <w:rPr>
          <w:rFonts w:ascii="Times New Roman" w:hAnsi="Times New Roman" w:cs="Times New Roman"/>
        </w:rPr>
        <w:t xml:space="preserve">que </w:t>
      </w:r>
      <w:r w:rsidR="00701502" w:rsidRPr="00FC7A74">
        <w:rPr>
          <w:rFonts w:ascii="Times New Roman" w:hAnsi="Times New Roman" w:cs="Times New Roman"/>
        </w:rPr>
        <w:t>creó</w:t>
      </w:r>
      <w:r w:rsidR="00053CEF" w:rsidRPr="00FC7A74">
        <w:rPr>
          <w:rFonts w:ascii="Times New Roman" w:hAnsi="Times New Roman" w:cs="Times New Roman"/>
        </w:rPr>
        <w:t xml:space="preserve"> un incentivo tributario para la inversión privada en investigación y desarrollo realizada en centros de investigación acreditados para este fin. </w:t>
      </w:r>
    </w:p>
    <w:p w:rsidR="00551EAD" w:rsidRPr="00FC7A74" w:rsidRDefault="00551EAD" w:rsidP="00551EAD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lastRenderedPageBreak/>
        <w:t xml:space="preserve">En términos generales, se establecen beneficios tributarios respecto de los pagos en dinero efectuados en virtud de contratos de investigación y desarrollo debidamente certificados por </w:t>
      </w:r>
      <w:r w:rsidR="002C4934">
        <w:rPr>
          <w:rFonts w:ascii="Times New Roman" w:hAnsi="Times New Roman" w:cs="Times New Roman"/>
        </w:rPr>
        <w:t>XXXX</w:t>
      </w:r>
      <w:r w:rsidRPr="00FC7A74">
        <w:rPr>
          <w:rFonts w:ascii="Times New Roman" w:hAnsi="Times New Roman" w:cs="Times New Roman"/>
        </w:rPr>
        <w:t>, celebrados con centros de investigación</w:t>
      </w:r>
      <w:r w:rsidR="00701502" w:rsidRPr="00FC7A74">
        <w:rPr>
          <w:rFonts w:ascii="Times New Roman" w:hAnsi="Times New Roman" w:cs="Times New Roman"/>
        </w:rPr>
        <w:t xml:space="preserve"> </w:t>
      </w:r>
      <w:r w:rsidRPr="00FC7A74">
        <w:rPr>
          <w:rFonts w:ascii="Times New Roman" w:hAnsi="Times New Roman" w:cs="Times New Roman"/>
        </w:rPr>
        <w:t xml:space="preserve">registrados, consistente </w:t>
      </w:r>
      <w:r w:rsidR="004E00EA" w:rsidRPr="00FC7A74">
        <w:rPr>
          <w:rFonts w:ascii="Times New Roman" w:hAnsi="Times New Roman" w:cs="Times New Roman"/>
        </w:rPr>
        <w:t xml:space="preserve">en que parte de los referidos pagos puedan ser imputados como un crédito contra el impuesto de primera categoría </w:t>
      </w:r>
      <w:r w:rsidRPr="00FC7A74">
        <w:rPr>
          <w:rFonts w:ascii="Times New Roman" w:hAnsi="Times New Roman" w:cs="Times New Roman"/>
        </w:rPr>
        <w:t>y el saldo deducido como gasto necesario para producir la renta, cumpliendo los límites y requisitos que establecen la citadas disposiciones (artículos 2° al 8°)</w:t>
      </w:r>
      <w:r w:rsidR="00E00530" w:rsidRPr="00FC7A74">
        <w:rPr>
          <w:rFonts w:ascii="Times New Roman" w:hAnsi="Times New Roman" w:cs="Times New Roman"/>
        </w:rPr>
        <w:t xml:space="preserve">. </w:t>
      </w:r>
    </w:p>
    <w:p w:rsidR="00E00530" w:rsidRPr="00FC7A74" w:rsidRDefault="00E00530" w:rsidP="00E00530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De acuerdo al artículo 5° de la Ley N° 20.241, los contribuyentes del impuesto de primera categoría de la Ley sobre Impuesto a la Renta, que declaren su renta efectiva determinada según contabilidad completa, tienen derecho a un crédito contra el impuesto de primera categoría del ejercicio, equivalente al 35% del total de los pagos en dinero efectuados conforme a los contratos de investigación y desarrollo debidamente certificados, celebrados con centros de investigación y desarrollo registrados</w:t>
      </w:r>
      <w:r w:rsidR="00701502" w:rsidRPr="00FC7A74">
        <w:rPr>
          <w:rFonts w:ascii="Times New Roman" w:hAnsi="Times New Roman" w:cs="Times New Roman"/>
        </w:rPr>
        <w:t>.</w:t>
      </w:r>
    </w:p>
    <w:p w:rsidR="00551EAD" w:rsidRPr="00FC7A74" w:rsidRDefault="00551EAD" w:rsidP="00551EAD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Los contribuyentes pueden imputar los beneficio</w:t>
      </w:r>
      <w:r w:rsidR="00701502" w:rsidRPr="00FC7A74">
        <w:rPr>
          <w:rFonts w:ascii="Times New Roman" w:hAnsi="Times New Roman" w:cs="Times New Roman"/>
        </w:rPr>
        <w:t>s tributarios que establece la l</w:t>
      </w:r>
      <w:r w:rsidRPr="00FC7A74">
        <w:rPr>
          <w:rFonts w:ascii="Times New Roman" w:hAnsi="Times New Roman" w:cs="Times New Roman"/>
        </w:rPr>
        <w:t>ey, respecto de las inversiones en investigación y desarrollo efectuadas en alguna de las siguientes formas:</w:t>
      </w:r>
    </w:p>
    <w:p w:rsidR="00551EAD" w:rsidRPr="00FC7A74" w:rsidRDefault="00551EAD" w:rsidP="00551E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Los pagos que efectúen a un </w:t>
      </w:r>
      <w:r w:rsidR="00701502" w:rsidRPr="00FC7A74">
        <w:rPr>
          <w:rFonts w:ascii="Times New Roman" w:hAnsi="Times New Roman" w:cs="Times New Roman"/>
        </w:rPr>
        <w:t>centro de investigación en el marco de un contrato celebrado al efecto, debidamente cer</w:t>
      </w:r>
      <w:r w:rsidRPr="00FC7A74">
        <w:rPr>
          <w:rFonts w:ascii="Times New Roman" w:hAnsi="Times New Roman" w:cs="Times New Roman"/>
        </w:rPr>
        <w:t xml:space="preserve">tificado por </w:t>
      </w:r>
      <w:r w:rsidR="002C4934">
        <w:rPr>
          <w:rFonts w:ascii="Times New Roman" w:hAnsi="Times New Roman" w:cs="Times New Roman"/>
        </w:rPr>
        <w:t>XXXX</w:t>
      </w:r>
      <w:r w:rsidRPr="00FC7A74">
        <w:rPr>
          <w:rFonts w:ascii="Times New Roman" w:hAnsi="Times New Roman" w:cs="Times New Roman"/>
        </w:rPr>
        <w:t>; o</w:t>
      </w:r>
    </w:p>
    <w:p w:rsidR="00551EAD" w:rsidRPr="00FC7A74" w:rsidRDefault="00551EAD" w:rsidP="00551EAD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51EAD" w:rsidRPr="00FC7A74" w:rsidRDefault="00551EAD" w:rsidP="00551E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Los desembolsos realizados en virtud de un </w:t>
      </w:r>
      <w:r w:rsidR="00701502" w:rsidRPr="00FC7A74">
        <w:rPr>
          <w:rFonts w:ascii="Times New Roman" w:hAnsi="Times New Roman" w:cs="Times New Roman"/>
        </w:rPr>
        <w:t>proyecto de investigación y desarrollo, que los propios contribuyentes realicen de acuerdo a sus propias capacidades internas o las de terceros, debidamente certificados po</w:t>
      </w:r>
      <w:r w:rsidRPr="00FC7A74">
        <w:rPr>
          <w:rFonts w:ascii="Times New Roman" w:hAnsi="Times New Roman" w:cs="Times New Roman"/>
        </w:rPr>
        <w:t xml:space="preserve">r </w:t>
      </w:r>
      <w:r w:rsidR="002C4934">
        <w:rPr>
          <w:rFonts w:ascii="Times New Roman" w:hAnsi="Times New Roman" w:cs="Times New Roman"/>
        </w:rPr>
        <w:t>XXXX</w:t>
      </w:r>
      <w:r w:rsidRPr="00FC7A74">
        <w:rPr>
          <w:rFonts w:ascii="Times New Roman" w:hAnsi="Times New Roman" w:cs="Times New Roman"/>
        </w:rPr>
        <w:t xml:space="preserve">. </w:t>
      </w:r>
    </w:p>
    <w:p w:rsidR="00936505" w:rsidRPr="00FC7A74" w:rsidRDefault="00D70E44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Sin perjuicio de lo anteri</w:t>
      </w:r>
      <w:r w:rsidR="009F5582" w:rsidRPr="00FC7A74">
        <w:rPr>
          <w:rFonts w:ascii="Times New Roman" w:hAnsi="Times New Roman" w:cs="Times New Roman"/>
        </w:rPr>
        <w:t>or, se hace presente</w:t>
      </w:r>
      <w:r w:rsidRPr="00FC7A74">
        <w:rPr>
          <w:rFonts w:ascii="Times New Roman" w:hAnsi="Times New Roman" w:cs="Times New Roman"/>
        </w:rPr>
        <w:t xml:space="preserve"> que, para evaluar si </w:t>
      </w:r>
      <w:r w:rsidR="00A44A6F" w:rsidRPr="00FC7A74">
        <w:rPr>
          <w:rFonts w:ascii="Times New Roman" w:hAnsi="Times New Roman" w:cs="Times New Roman"/>
        </w:rPr>
        <w:t xml:space="preserve">las normas de </w:t>
      </w:r>
      <w:r w:rsidR="009F5582" w:rsidRPr="00FC7A74">
        <w:rPr>
          <w:rFonts w:ascii="Times New Roman" w:hAnsi="Times New Roman" w:cs="Times New Roman"/>
        </w:rPr>
        <w:t>excepción establecidas</w:t>
      </w:r>
      <w:r w:rsidRPr="00FC7A74">
        <w:rPr>
          <w:rFonts w:ascii="Times New Roman" w:hAnsi="Times New Roman" w:cs="Times New Roman"/>
        </w:rPr>
        <w:t xml:space="preserve"> </w:t>
      </w:r>
      <w:r w:rsidR="009F5582" w:rsidRPr="00FC7A74">
        <w:rPr>
          <w:rFonts w:ascii="Times New Roman" w:hAnsi="Times New Roman" w:cs="Times New Roman"/>
        </w:rPr>
        <w:t>por</w:t>
      </w:r>
      <w:r w:rsidRPr="00FC7A74">
        <w:rPr>
          <w:rFonts w:ascii="Times New Roman" w:hAnsi="Times New Roman" w:cs="Times New Roman"/>
        </w:rPr>
        <w:t xml:space="preserve"> la Ley N° 20.241</w:t>
      </w:r>
      <w:r w:rsidR="009F5582" w:rsidRPr="00FC7A74">
        <w:rPr>
          <w:rFonts w:ascii="Times New Roman" w:hAnsi="Times New Roman" w:cs="Times New Roman"/>
        </w:rPr>
        <w:t>,</w:t>
      </w:r>
      <w:r w:rsidRPr="00FC7A74">
        <w:rPr>
          <w:rFonts w:ascii="Times New Roman" w:hAnsi="Times New Roman" w:cs="Times New Roman"/>
        </w:rPr>
        <w:t xml:space="preserve"> </w:t>
      </w:r>
      <w:r w:rsidR="00A44A6F" w:rsidRPr="00FC7A74">
        <w:rPr>
          <w:rFonts w:ascii="Times New Roman" w:hAnsi="Times New Roman" w:cs="Times New Roman"/>
        </w:rPr>
        <w:t xml:space="preserve">efectivamente </w:t>
      </w:r>
      <w:r w:rsidRPr="00FC7A74">
        <w:rPr>
          <w:rFonts w:ascii="Times New Roman" w:hAnsi="Times New Roman" w:cs="Times New Roman"/>
        </w:rPr>
        <w:t xml:space="preserve">cumplen </w:t>
      </w:r>
      <w:r w:rsidR="00A44A6F" w:rsidRPr="00FC7A74">
        <w:rPr>
          <w:rFonts w:ascii="Times New Roman" w:hAnsi="Times New Roman" w:cs="Times New Roman"/>
        </w:rPr>
        <w:t xml:space="preserve">las finalidades que se perseguían con su dictación, </w:t>
      </w:r>
      <w:r w:rsidR="009F5582" w:rsidRPr="00FC7A74">
        <w:rPr>
          <w:rFonts w:ascii="Times New Roman" w:hAnsi="Times New Roman" w:cs="Times New Roman"/>
        </w:rPr>
        <w:t>el</w:t>
      </w:r>
      <w:r w:rsidRPr="00FC7A74">
        <w:rPr>
          <w:rFonts w:ascii="Times New Roman" w:hAnsi="Times New Roman" w:cs="Times New Roman"/>
        </w:rPr>
        <w:t xml:space="preserve"> artículo 2° t</w:t>
      </w:r>
      <w:r w:rsidR="00A44A6F" w:rsidRPr="00FC7A74">
        <w:rPr>
          <w:rFonts w:ascii="Times New Roman" w:hAnsi="Times New Roman" w:cs="Times New Roman"/>
        </w:rPr>
        <w:t>ransitorio</w:t>
      </w:r>
      <w:r w:rsidR="009F5582" w:rsidRPr="00FC7A74">
        <w:rPr>
          <w:rFonts w:ascii="Times New Roman" w:hAnsi="Times New Roman" w:cs="Times New Roman"/>
        </w:rPr>
        <w:t xml:space="preserve"> de la ley</w:t>
      </w:r>
      <w:r w:rsidR="00AF15F7" w:rsidRPr="00FC7A74">
        <w:rPr>
          <w:rFonts w:ascii="Times New Roman" w:hAnsi="Times New Roman" w:cs="Times New Roman"/>
        </w:rPr>
        <w:t xml:space="preserve">, </w:t>
      </w:r>
      <w:r w:rsidR="007E6246" w:rsidRPr="00FC7A74">
        <w:rPr>
          <w:rFonts w:ascii="Times New Roman" w:hAnsi="Times New Roman" w:cs="Times New Roman"/>
        </w:rPr>
        <w:t xml:space="preserve">reemplazado </w:t>
      </w:r>
      <w:r w:rsidR="00F570A8" w:rsidRPr="00FC7A74">
        <w:rPr>
          <w:rFonts w:ascii="Times New Roman" w:hAnsi="Times New Roman" w:cs="Times New Roman"/>
        </w:rPr>
        <w:t xml:space="preserve">por el </w:t>
      </w:r>
      <w:r w:rsidR="007E6246" w:rsidRPr="00FC7A74">
        <w:rPr>
          <w:rFonts w:ascii="Times New Roman" w:hAnsi="Times New Roman" w:cs="Times New Roman"/>
        </w:rPr>
        <w:t xml:space="preserve">artículo 30 </w:t>
      </w:r>
      <w:r w:rsidR="009F5582" w:rsidRPr="00FC7A74">
        <w:rPr>
          <w:rFonts w:ascii="Times New Roman" w:hAnsi="Times New Roman" w:cs="Times New Roman"/>
        </w:rPr>
        <w:t>N° 15 de la Ley N°</w:t>
      </w:r>
      <w:r w:rsidR="00701502" w:rsidRPr="00FC7A74">
        <w:rPr>
          <w:rFonts w:ascii="Times New Roman" w:hAnsi="Times New Roman" w:cs="Times New Roman"/>
        </w:rPr>
        <w:t xml:space="preserve"> </w:t>
      </w:r>
      <w:r w:rsidR="007E6246" w:rsidRPr="00FC7A74">
        <w:rPr>
          <w:rFonts w:ascii="Times New Roman" w:hAnsi="Times New Roman" w:cs="Times New Roman"/>
        </w:rPr>
        <w:t xml:space="preserve">20.570, </w:t>
      </w:r>
      <w:r w:rsidR="00B568E8" w:rsidRPr="00FC7A74">
        <w:rPr>
          <w:rFonts w:ascii="Times New Roman" w:hAnsi="Times New Roman" w:cs="Times New Roman"/>
        </w:rPr>
        <w:t>establece que:</w:t>
      </w:r>
    </w:p>
    <w:p w:rsidR="00B70620" w:rsidRPr="00FC7A74" w:rsidRDefault="00B568E8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“Durante el primer semestre del año 2016, el Ministerio de Economía, Fomento y Turismo encargará la realización de un estudio y evaluación de la presente ley en cuanto instrumento de fomento para la realización, por parte del sector privado, </w:t>
      </w:r>
      <w:r w:rsidR="0066587D" w:rsidRPr="00FC7A74">
        <w:rPr>
          <w:rFonts w:ascii="Times New Roman" w:hAnsi="Times New Roman" w:cs="Times New Roman"/>
        </w:rPr>
        <w:t>de actividades de investigación y desarrollo, y en cuanto instrumento de incentivo para potenciar el vínculo entre los</w:t>
      </w:r>
      <w:r w:rsidRPr="00FC7A74">
        <w:rPr>
          <w:rFonts w:ascii="Times New Roman" w:hAnsi="Times New Roman" w:cs="Times New Roman"/>
        </w:rPr>
        <w:t xml:space="preserve"> </w:t>
      </w:r>
      <w:r w:rsidR="0066587D" w:rsidRPr="00FC7A74">
        <w:rPr>
          <w:rFonts w:ascii="Times New Roman" w:hAnsi="Times New Roman" w:cs="Times New Roman"/>
        </w:rPr>
        <w:t>centros de investigación y el referido sector privado.</w:t>
      </w:r>
    </w:p>
    <w:p w:rsidR="0066587D" w:rsidRPr="00FC7A74" w:rsidRDefault="0066587D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En el antedicho estudio deberá realizarse, a lo menos, un análisis acerca del efecto o impacto que la presente ley hubiere tenido en la creación de nuevos centros de investigación, y la calidad de los mismos, así como</w:t>
      </w:r>
      <w:r w:rsidR="00936505" w:rsidRPr="00FC7A74">
        <w:rPr>
          <w:rFonts w:ascii="Times New Roman" w:hAnsi="Times New Roman" w:cs="Times New Roman"/>
        </w:rPr>
        <w:t xml:space="preserve"> la mejora de los centros de investigación </w:t>
      </w:r>
      <w:r w:rsidR="00F570A8" w:rsidRPr="00FC7A74">
        <w:rPr>
          <w:rFonts w:ascii="Times New Roman" w:hAnsi="Times New Roman" w:cs="Times New Roman"/>
        </w:rPr>
        <w:t xml:space="preserve">ya </w:t>
      </w:r>
      <w:r w:rsidR="00936505" w:rsidRPr="00FC7A74">
        <w:rPr>
          <w:rFonts w:ascii="Times New Roman" w:hAnsi="Times New Roman" w:cs="Times New Roman"/>
        </w:rPr>
        <w:t>existentes a</w:t>
      </w:r>
      <w:r w:rsidRPr="00FC7A74">
        <w:rPr>
          <w:rFonts w:ascii="Times New Roman" w:hAnsi="Times New Roman" w:cs="Times New Roman"/>
        </w:rPr>
        <w:t xml:space="preserve"> la fecha de entrada en vigencia de esta ley, principalmente, </w:t>
      </w:r>
      <w:r w:rsidR="00F570A8" w:rsidRPr="00FC7A74">
        <w:rPr>
          <w:rFonts w:ascii="Times New Roman" w:hAnsi="Times New Roman" w:cs="Times New Roman"/>
        </w:rPr>
        <w:t xml:space="preserve">en </w:t>
      </w:r>
      <w:r w:rsidRPr="00FC7A74">
        <w:rPr>
          <w:rFonts w:ascii="Times New Roman" w:hAnsi="Times New Roman" w:cs="Times New Roman"/>
        </w:rPr>
        <w:t>términos de infraestructura</w:t>
      </w:r>
      <w:r w:rsidR="00CC2FE7" w:rsidRPr="00FC7A74">
        <w:rPr>
          <w:rFonts w:ascii="Times New Roman" w:hAnsi="Times New Roman" w:cs="Times New Roman"/>
        </w:rPr>
        <w:t xml:space="preserve"> y de personal calificado para llevar a cabo las labores de investigación y desarrollo; su impacto en las empresas o contribuyentes involucrados, en términos de la incorporación de los resultados de la investigación y desarrollo a sus procesos, del gasto comprometido en investigación y desarrollo, del aumento</w:t>
      </w:r>
      <w:r w:rsidR="00005685" w:rsidRPr="00FC7A74">
        <w:rPr>
          <w:rFonts w:ascii="Times New Roman" w:hAnsi="Times New Roman" w:cs="Times New Roman"/>
        </w:rPr>
        <w:t xml:space="preserve"> en la competitividad de dichas empresas, de los incrementos </w:t>
      </w:r>
      <w:r w:rsidR="00CC2FE7" w:rsidRPr="00FC7A74">
        <w:rPr>
          <w:rFonts w:ascii="Times New Roman" w:hAnsi="Times New Roman" w:cs="Times New Roman"/>
        </w:rPr>
        <w:t xml:space="preserve">de valor experimentado por ellas con ocasión de la investigación y desarrollo. </w:t>
      </w:r>
      <w:r w:rsidR="00314054" w:rsidRPr="00FC7A74">
        <w:rPr>
          <w:rFonts w:ascii="Times New Roman" w:hAnsi="Times New Roman" w:cs="Times New Roman"/>
        </w:rPr>
        <w:t xml:space="preserve">El mencionado estudio deberá incluir además, de manera general y en términos agregados, la misma información a que se refiere el artículo 27 de la presente ley. El estudio y evaluación antes referidos será de público conocimiento, debiendo ser publicado en </w:t>
      </w:r>
      <w:r w:rsidR="00AF727D" w:rsidRPr="00FC7A74">
        <w:rPr>
          <w:rFonts w:ascii="Times New Roman" w:hAnsi="Times New Roman" w:cs="Times New Roman"/>
        </w:rPr>
        <w:t xml:space="preserve">forma electrónica o digital, por el referido ministerio, en el primer semestre del año 2017. </w:t>
      </w:r>
      <w:r w:rsidR="00314054" w:rsidRPr="00FC7A74">
        <w:rPr>
          <w:rFonts w:ascii="Times New Roman" w:hAnsi="Times New Roman" w:cs="Times New Roman"/>
        </w:rPr>
        <w:t>Lo anterior es sin perjuicio de la evaluación</w:t>
      </w:r>
      <w:r w:rsidR="00AF727D" w:rsidRPr="00FC7A74">
        <w:rPr>
          <w:rFonts w:ascii="Times New Roman" w:hAnsi="Times New Roman" w:cs="Times New Roman"/>
        </w:rPr>
        <w:t xml:space="preserve"> que el Ministerio de Economía, Fomento y Turismo realizará el segundo semestre del año 2015 acerca del uso de la presente ley por e</w:t>
      </w:r>
      <w:r w:rsidR="004C65D2" w:rsidRPr="00FC7A74">
        <w:rPr>
          <w:rFonts w:ascii="Times New Roman" w:hAnsi="Times New Roman" w:cs="Times New Roman"/>
        </w:rPr>
        <w:t>l</w:t>
      </w:r>
      <w:r w:rsidR="00AF727D" w:rsidRPr="00FC7A74">
        <w:rPr>
          <w:rFonts w:ascii="Times New Roman" w:hAnsi="Times New Roman" w:cs="Times New Roman"/>
        </w:rPr>
        <w:t xml:space="preserve"> sector privado. Dicha evaluación será de público conocimiento, debiendo ser publicada en forma electrónica, digital e impresa por el referido minist</w:t>
      </w:r>
      <w:r w:rsidR="00936505" w:rsidRPr="00FC7A74">
        <w:rPr>
          <w:rFonts w:ascii="Times New Roman" w:hAnsi="Times New Roman" w:cs="Times New Roman"/>
        </w:rPr>
        <w:t>e</w:t>
      </w:r>
      <w:r w:rsidR="00AF727D" w:rsidRPr="00FC7A74">
        <w:rPr>
          <w:rFonts w:ascii="Times New Roman" w:hAnsi="Times New Roman" w:cs="Times New Roman"/>
        </w:rPr>
        <w:t>rio, en el mes de junio de 2016.”</w:t>
      </w:r>
    </w:p>
    <w:p w:rsidR="004C65D2" w:rsidRPr="00FC7A74" w:rsidRDefault="00142AF1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Por lo expuesto, se estima que</w:t>
      </w:r>
      <w:r w:rsidR="009F5582" w:rsidRPr="00FC7A74">
        <w:rPr>
          <w:rFonts w:ascii="Times New Roman" w:hAnsi="Times New Roman" w:cs="Times New Roman"/>
        </w:rPr>
        <w:t xml:space="preserve">, en todo caso, debiera </w:t>
      </w:r>
      <w:r w:rsidR="00026FE6" w:rsidRPr="00FC7A74">
        <w:rPr>
          <w:rFonts w:ascii="Times New Roman" w:hAnsi="Times New Roman" w:cs="Times New Roman"/>
        </w:rPr>
        <w:t>esperar</w:t>
      </w:r>
      <w:r w:rsidR="009F5582" w:rsidRPr="00FC7A74">
        <w:rPr>
          <w:rFonts w:ascii="Times New Roman" w:hAnsi="Times New Roman" w:cs="Times New Roman"/>
        </w:rPr>
        <w:t>se</w:t>
      </w:r>
      <w:r w:rsidR="00026FE6" w:rsidRPr="00FC7A74">
        <w:rPr>
          <w:rFonts w:ascii="Times New Roman" w:hAnsi="Times New Roman" w:cs="Times New Roman"/>
        </w:rPr>
        <w:t xml:space="preserve"> el término de la</w:t>
      </w:r>
      <w:r w:rsidR="00AD632F" w:rsidRPr="00FC7A74">
        <w:rPr>
          <w:rFonts w:ascii="Times New Roman" w:hAnsi="Times New Roman" w:cs="Times New Roman"/>
        </w:rPr>
        <w:t>s</w:t>
      </w:r>
      <w:r w:rsidR="00026FE6" w:rsidRPr="00FC7A74">
        <w:rPr>
          <w:rFonts w:ascii="Times New Roman" w:hAnsi="Times New Roman" w:cs="Times New Roman"/>
        </w:rPr>
        <w:t xml:space="preserve"> evaluaciones que debe efectuar el Ministerio de Economía, Fomento y Turismo a</w:t>
      </w:r>
      <w:r w:rsidR="00CF6B9E" w:rsidRPr="00FC7A74">
        <w:rPr>
          <w:rFonts w:ascii="Times New Roman" w:hAnsi="Times New Roman" w:cs="Times New Roman"/>
        </w:rPr>
        <w:t>l régimen de incentivos de la Ley N°</w:t>
      </w:r>
      <w:r w:rsidR="00AD632F" w:rsidRPr="00FC7A74">
        <w:rPr>
          <w:rFonts w:ascii="Times New Roman" w:hAnsi="Times New Roman" w:cs="Times New Roman"/>
        </w:rPr>
        <w:t xml:space="preserve"> 20.241 y, una vez terminada esa evaluación, </w:t>
      </w:r>
      <w:r w:rsidR="00CF6B9E" w:rsidRPr="00FC7A74">
        <w:rPr>
          <w:rFonts w:ascii="Times New Roman" w:hAnsi="Times New Roman" w:cs="Times New Roman"/>
        </w:rPr>
        <w:t xml:space="preserve">determinar </w:t>
      </w:r>
      <w:r w:rsidR="00C95BFC" w:rsidRPr="00FC7A74">
        <w:rPr>
          <w:rFonts w:ascii="Times New Roman" w:hAnsi="Times New Roman" w:cs="Times New Roman"/>
        </w:rPr>
        <w:t xml:space="preserve">si </w:t>
      </w:r>
      <w:r w:rsidR="009F5582" w:rsidRPr="00FC7A74">
        <w:rPr>
          <w:rFonts w:ascii="Times New Roman" w:hAnsi="Times New Roman" w:cs="Times New Roman"/>
        </w:rPr>
        <w:t xml:space="preserve">es necesario establecer normas adicionales. </w:t>
      </w:r>
    </w:p>
    <w:p w:rsidR="004E00EA" w:rsidRPr="00FC7A74" w:rsidRDefault="004E00EA" w:rsidP="004E00EA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 xml:space="preserve">Más instrucciones sobre la materia se encuentran en la Circular N° 19 del año 2013, de este Servicio. </w:t>
      </w:r>
    </w:p>
    <w:p w:rsidR="00B24EAB" w:rsidRDefault="00B24EAB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4EAB" w:rsidRDefault="00B24EAB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4EAB" w:rsidRDefault="00B24EAB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4EAB" w:rsidRDefault="00B24EAB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4EAB" w:rsidRDefault="00B24EAB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1ACC" w:rsidRPr="00FC7A74" w:rsidRDefault="00EE1ACC" w:rsidP="005B0C6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C7A74">
        <w:rPr>
          <w:rFonts w:ascii="Times New Roman" w:hAnsi="Times New Roman" w:cs="Times New Roman"/>
          <w:b/>
        </w:rPr>
        <w:lastRenderedPageBreak/>
        <w:t>III</w:t>
      </w:r>
      <w:r w:rsidRPr="00FC7A74">
        <w:rPr>
          <w:rFonts w:ascii="Times New Roman" w:hAnsi="Times New Roman" w:cs="Times New Roman"/>
          <w:b/>
        </w:rPr>
        <w:tab/>
        <w:t>CONCLUSIÓN</w:t>
      </w:r>
    </w:p>
    <w:p w:rsidR="004E00EA" w:rsidRPr="00FC7A74" w:rsidRDefault="004E00EA" w:rsidP="004E00EA">
      <w:pPr>
        <w:spacing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FC7A74">
        <w:rPr>
          <w:rFonts w:ascii="Times New Roman" w:hAnsi="Times New Roman" w:cs="Times New Roman"/>
          <w:bCs/>
          <w:lang w:val="es-ES_tradnl"/>
        </w:rPr>
        <w:t>Como se aprecia, ya existen mecanismos legales de carácter general, destinados a incentivar la investigación y desarrollo así como para financiar proyectos de investigación, los cuales perfectamente pueden ser utilizados para efectuar</w:t>
      </w:r>
      <w:r w:rsidRPr="00FC7A74">
        <w:rPr>
          <w:rFonts w:ascii="Times New Roman" w:hAnsi="Times New Roman" w:cs="Times New Roman"/>
        </w:rPr>
        <w:t xml:space="preserve"> las investigaciones a que se refiere el proyecto de resolución de la H. Cámara de Diputados.</w:t>
      </w:r>
    </w:p>
    <w:p w:rsidR="00D70E44" w:rsidRPr="00FC7A74" w:rsidRDefault="009F5582" w:rsidP="005B0C66">
      <w:pPr>
        <w:spacing w:line="240" w:lineRule="auto"/>
        <w:jc w:val="both"/>
        <w:rPr>
          <w:rFonts w:ascii="Times New Roman" w:hAnsi="Times New Roman" w:cs="Times New Roman"/>
        </w:rPr>
      </w:pPr>
      <w:r w:rsidRPr="00FC7A74">
        <w:rPr>
          <w:rFonts w:ascii="Times New Roman" w:hAnsi="Times New Roman" w:cs="Times New Roman"/>
        </w:rPr>
        <w:t>Por otra parte, la Ley N° 20.241 estableció un periodo para evaluar su eficacia, la cual debe efectuar el Ministerio de Economía, Fomento y Turismo, de suerte que se recomienda esperar esa evaluación para determinar si es necesario establecer normas adicionales.</w:t>
      </w:r>
    </w:p>
    <w:p w:rsidR="004E00EA" w:rsidRPr="00FC7A74" w:rsidRDefault="004E00EA" w:rsidP="005B0C66">
      <w:pPr>
        <w:spacing w:line="240" w:lineRule="auto"/>
        <w:jc w:val="both"/>
        <w:rPr>
          <w:rFonts w:ascii="Times New Roman" w:hAnsi="Times New Roman" w:cs="Times New Roman"/>
        </w:rPr>
      </w:pPr>
    </w:p>
    <w:p w:rsidR="004E00EA" w:rsidRPr="00FC7A74" w:rsidRDefault="004E00EA" w:rsidP="005B0C66">
      <w:pPr>
        <w:spacing w:line="240" w:lineRule="auto"/>
        <w:jc w:val="both"/>
        <w:rPr>
          <w:rFonts w:ascii="Times New Roman" w:hAnsi="Times New Roman" w:cs="Times New Roman"/>
        </w:rPr>
      </w:pPr>
    </w:p>
    <w:p w:rsidR="004E00EA" w:rsidRPr="00FC7A74" w:rsidRDefault="004E00EA" w:rsidP="005B0C66">
      <w:pPr>
        <w:spacing w:line="240" w:lineRule="auto"/>
        <w:jc w:val="both"/>
        <w:rPr>
          <w:rFonts w:ascii="Times New Roman" w:hAnsi="Times New Roman" w:cs="Times New Roman"/>
        </w:rPr>
      </w:pPr>
    </w:p>
    <w:p w:rsidR="004E00EA" w:rsidRPr="00FC7A74" w:rsidRDefault="004E00EA" w:rsidP="005B0C66">
      <w:pPr>
        <w:spacing w:line="240" w:lineRule="auto"/>
        <w:jc w:val="both"/>
        <w:rPr>
          <w:rFonts w:ascii="Times New Roman" w:hAnsi="Times New Roman" w:cs="Times New Roman"/>
        </w:rPr>
      </w:pPr>
    </w:p>
    <w:p w:rsidR="004E00EA" w:rsidRPr="00FC7A74" w:rsidRDefault="004E00EA" w:rsidP="005B0C66">
      <w:pPr>
        <w:spacing w:line="240" w:lineRule="auto"/>
        <w:jc w:val="both"/>
        <w:rPr>
          <w:rFonts w:ascii="Times New Roman" w:hAnsi="Times New Roman" w:cs="Times New Roman"/>
        </w:rPr>
      </w:pPr>
    </w:p>
    <w:p w:rsidR="00EE1ACC" w:rsidRPr="00FC7A74" w:rsidRDefault="00622A77" w:rsidP="00D70E44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</w:rPr>
      </w:pPr>
      <w:r w:rsidRPr="00FC7A74">
        <w:rPr>
          <w:rFonts w:ascii="Times New Roman" w:hAnsi="Times New Roman" w:cs="Times New Roman"/>
          <w:b/>
        </w:rPr>
        <w:t>FERNANDO BARRAZA LUENGO</w:t>
      </w:r>
    </w:p>
    <w:p w:rsidR="00EE1ACC" w:rsidRPr="00FC7A74" w:rsidRDefault="00EE1ACC" w:rsidP="00D70E44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</w:rPr>
      </w:pPr>
      <w:r w:rsidRPr="00FC7A74">
        <w:rPr>
          <w:rFonts w:ascii="Times New Roman" w:hAnsi="Times New Roman" w:cs="Times New Roman"/>
          <w:b/>
        </w:rPr>
        <w:t>DIRECTOR</w:t>
      </w:r>
      <w:r w:rsidR="00622A77" w:rsidRPr="00FC7A74">
        <w:rPr>
          <w:rFonts w:ascii="Times New Roman" w:hAnsi="Times New Roman" w:cs="Times New Roman"/>
          <w:b/>
        </w:rPr>
        <w:t xml:space="preserve"> </w:t>
      </w:r>
    </w:p>
    <w:p w:rsidR="00895D0C" w:rsidRPr="00FC7A74" w:rsidRDefault="00895D0C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0EA" w:rsidRPr="00FC7A74" w:rsidRDefault="004E00EA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0EA" w:rsidRPr="00FC7A74" w:rsidRDefault="004E00EA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0EA" w:rsidRPr="00FC7A74" w:rsidRDefault="004E00EA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0EA" w:rsidRPr="00FC7A74" w:rsidRDefault="004E00EA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0EA" w:rsidRPr="00FC7A74" w:rsidRDefault="004E00EA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0EA" w:rsidRPr="00FC7A74" w:rsidRDefault="004E00EA" w:rsidP="00EE1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E44" w:rsidRDefault="00867A93" w:rsidP="00867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881, de 05.04.2016</w:t>
      </w:r>
    </w:p>
    <w:p w:rsidR="00867A93" w:rsidRDefault="00867A93" w:rsidP="00867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867A93" w:rsidRPr="00867A93" w:rsidRDefault="00867A93" w:rsidP="00867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Tributaria.</w:t>
      </w:r>
    </w:p>
    <w:sectPr w:rsidR="00867A93" w:rsidRPr="00867A93" w:rsidSect="004E00EA">
      <w:headerReference w:type="default" r:id="rId8"/>
      <w:pgSz w:w="12242" w:h="18722" w:code="14"/>
      <w:pgMar w:top="127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C3" w:rsidRDefault="007D47C3" w:rsidP="00EE1ACC">
      <w:pPr>
        <w:spacing w:after="0" w:line="240" w:lineRule="auto"/>
      </w:pPr>
      <w:r>
        <w:separator/>
      </w:r>
    </w:p>
  </w:endnote>
  <w:endnote w:type="continuationSeparator" w:id="0">
    <w:p w:rsidR="007D47C3" w:rsidRDefault="007D47C3" w:rsidP="00EE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C3" w:rsidRDefault="007D47C3" w:rsidP="00EE1ACC">
      <w:pPr>
        <w:spacing w:after="0" w:line="240" w:lineRule="auto"/>
      </w:pPr>
      <w:r>
        <w:separator/>
      </w:r>
    </w:p>
  </w:footnote>
  <w:footnote w:type="continuationSeparator" w:id="0">
    <w:p w:rsidR="007D47C3" w:rsidRDefault="007D47C3" w:rsidP="00EE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23937471"/>
      <w:docPartObj>
        <w:docPartGallery w:val="Page Numbers (Top of Page)"/>
        <w:docPartUnique/>
      </w:docPartObj>
    </w:sdtPr>
    <w:sdtEndPr/>
    <w:sdtContent>
      <w:p w:rsidR="00701502" w:rsidRPr="00701502" w:rsidRDefault="00701502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701502">
          <w:rPr>
            <w:rFonts w:ascii="Arial" w:hAnsi="Arial" w:cs="Arial"/>
            <w:sz w:val="16"/>
            <w:szCs w:val="16"/>
          </w:rPr>
          <w:fldChar w:fldCharType="begin"/>
        </w:r>
        <w:r w:rsidRPr="00701502">
          <w:rPr>
            <w:rFonts w:ascii="Arial" w:hAnsi="Arial" w:cs="Arial"/>
            <w:sz w:val="16"/>
            <w:szCs w:val="16"/>
          </w:rPr>
          <w:instrText>PAGE   \* MERGEFORMAT</w:instrText>
        </w:r>
        <w:r w:rsidRPr="00701502">
          <w:rPr>
            <w:rFonts w:ascii="Arial" w:hAnsi="Arial" w:cs="Arial"/>
            <w:sz w:val="16"/>
            <w:szCs w:val="16"/>
          </w:rPr>
          <w:fldChar w:fldCharType="separate"/>
        </w:r>
        <w:r w:rsidR="00EC147C" w:rsidRPr="00EC147C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70150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01502" w:rsidRPr="00701502" w:rsidRDefault="00701502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A42"/>
    <w:multiLevelType w:val="hybridMultilevel"/>
    <w:tmpl w:val="648A5E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1F2"/>
    <w:multiLevelType w:val="hybridMultilevel"/>
    <w:tmpl w:val="708C20BE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9E457FF"/>
    <w:multiLevelType w:val="hybridMultilevel"/>
    <w:tmpl w:val="844CC530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EDE315A"/>
    <w:multiLevelType w:val="hybridMultilevel"/>
    <w:tmpl w:val="CA5CC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C3F78"/>
    <w:multiLevelType w:val="hybridMultilevel"/>
    <w:tmpl w:val="EA402E5C"/>
    <w:lvl w:ilvl="0" w:tplc="FA84671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05" w:hanging="360"/>
      </w:pPr>
    </w:lvl>
    <w:lvl w:ilvl="2" w:tplc="340A001B" w:tentative="1">
      <w:start w:val="1"/>
      <w:numFmt w:val="lowerRoman"/>
      <w:lvlText w:val="%3."/>
      <w:lvlJc w:val="right"/>
      <w:pPr>
        <w:ind w:left="3225" w:hanging="180"/>
      </w:pPr>
    </w:lvl>
    <w:lvl w:ilvl="3" w:tplc="340A000F" w:tentative="1">
      <w:start w:val="1"/>
      <w:numFmt w:val="decimal"/>
      <w:lvlText w:val="%4."/>
      <w:lvlJc w:val="left"/>
      <w:pPr>
        <w:ind w:left="3945" w:hanging="360"/>
      </w:pPr>
    </w:lvl>
    <w:lvl w:ilvl="4" w:tplc="340A0019" w:tentative="1">
      <w:start w:val="1"/>
      <w:numFmt w:val="lowerLetter"/>
      <w:lvlText w:val="%5."/>
      <w:lvlJc w:val="left"/>
      <w:pPr>
        <w:ind w:left="4665" w:hanging="360"/>
      </w:pPr>
    </w:lvl>
    <w:lvl w:ilvl="5" w:tplc="340A001B" w:tentative="1">
      <w:start w:val="1"/>
      <w:numFmt w:val="lowerRoman"/>
      <w:lvlText w:val="%6."/>
      <w:lvlJc w:val="right"/>
      <w:pPr>
        <w:ind w:left="5385" w:hanging="180"/>
      </w:pPr>
    </w:lvl>
    <w:lvl w:ilvl="6" w:tplc="340A000F" w:tentative="1">
      <w:start w:val="1"/>
      <w:numFmt w:val="decimal"/>
      <w:lvlText w:val="%7."/>
      <w:lvlJc w:val="left"/>
      <w:pPr>
        <w:ind w:left="6105" w:hanging="360"/>
      </w:pPr>
    </w:lvl>
    <w:lvl w:ilvl="7" w:tplc="340A0019" w:tentative="1">
      <w:start w:val="1"/>
      <w:numFmt w:val="lowerLetter"/>
      <w:lvlText w:val="%8."/>
      <w:lvlJc w:val="left"/>
      <w:pPr>
        <w:ind w:left="6825" w:hanging="360"/>
      </w:pPr>
    </w:lvl>
    <w:lvl w:ilvl="8" w:tplc="3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D301182"/>
    <w:multiLevelType w:val="hybridMultilevel"/>
    <w:tmpl w:val="AE42A4C6"/>
    <w:lvl w:ilvl="0" w:tplc="340A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>
    <w:nsid w:val="70745038"/>
    <w:multiLevelType w:val="hybridMultilevel"/>
    <w:tmpl w:val="2874604C"/>
    <w:lvl w:ilvl="0" w:tplc="3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3F831B4"/>
    <w:multiLevelType w:val="hybridMultilevel"/>
    <w:tmpl w:val="207EE552"/>
    <w:lvl w:ilvl="0" w:tplc="718C8CA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C"/>
    <w:rsid w:val="00005685"/>
    <w:rsid w:val="000104E7"/>
    <w:rsid w:val="00026FE6"/>
    <w:rsid w:val="00033674"/>
    <w:rsid w:val="00034D06"/>
    <w:rsid w:val="00044AEB"/>
    <w:rsid w:val="00053CEF"/>
    <w:rsid w:val="00062A82"/>
    <w:rsid w:val="000F0443"/>
    <w:rsid w:val="00101A9C"/>
    <w:rsid w:val="00142AF1"/>
    <w:rsid w:val="00153BB2"/>
    <w:rsid w:val="0019590E"/>
    <w:rsid w:val="001E7874"/>
    <w:rsid w:val="00212927"/>
    <w:rsid w:val="00222A7B"/>
    <w:rsid w:val="00224F83"/>
    <w:rsid w:val="002302FE"/>
    <w:rsid w:val="002806A4"/>
    <w:rsid w:val="002C4934"/>
    <w:rsid w:val="002F2FB6"/>
    <w:rsid w:val="00314054"/>
    <w:rsid w:val="0033040D"/>
    <w:rsid w:val="003D16E1"/>
    <w:rsid w:val="003D5E86"/>
    <w:rsid w:val="004028DA"/>
    <w:rsid w:val="00416C7E"/>
    <w:rsid w:val="004259B0"/>
    <w:rsid w:val="00472947"/>
    <w:rsid w:val="00475415"/>
    <w:rsid w:val="00492D1F"/>
    <w:rsid w:val="004C65D2"/>
    <w:rsid w:val="004D4762"/>
    <w:rsid w:val="004E00EA"/>
    <w:rsid w:val="004E5668"/>
    <w:rsid w:val="00551EAD"/>
    <w:rsid w:val="0055395D"/>
    <w:rsid w:val="0058101B"/>
    <w:rsid w:val="005837F6"/>
    <w:rsid w:val="00593DB2"/>
    <w:rsid w:val="005B0C66"/>
    <w:rsid w:val="005F0F79"/>
    <w:rsid w:val="005F365A"/>
    <w:rsid w:val="00613E6F"/>
    <w:rsid w:val="00622A77"/>
    <w:rsid w:val="00651C53"/>
    <w:rsid w:val="0066587D"/>
    <w:rsid w:val="006A30B6"/>
    <w:rsid w:val="006A3FC9"/>
    <w:rsid w:val="00701502"/>
    <w:rsid w:val="007200CC"/>
    <w:rsid w:val="00787131"/>
    <w:rsid w:val="007927D0"/>
    <w:rsid w:val="007A65A4"/>
    <w:rsid w:val="007D47C3"/>
    <w:rsid w:val="007E6246"/>
    <w:rsid w:val="00865C22"/>
    <w:rsid w:val="00867A93"/>
    <w:rsid w:val="008738FC"/>
    <w:rsid w:val="00873BDF"/>
    <w:rsid w:val="008909A9"/>
    <w:rsid w:val="00895D0C"/>
    <w:rsid w:val="008C1D58"/>
    <w:rsid w:val="008C75E1"/>
    <w:rsid w:val="008D2F46"/>
    <w:rsid w:val="008D7ADD"/>
    <w:rsid w:val="00936505"/>
    <w:rsid w:val="009414CF"/>
    <w:rsid w:val="00990126"/>
    <w:rsid w:val="00992981"/>
    <w:rsid w:val="009946C7"/>
    <w:rsid w:val="009E1BA7"/>
    <w:rsid w:val="009F5582"/>
    <w:rsid w:val="00A1379E"/>
    <w:rsid w:val="00A21F20"/>
    <w:rsid w:val="00A44A6F"/>
    <w:rsid w:val="00A56922"/>
    <w:rsid w:val="00A63BBF"/>
    <w:rsid w:val="00A74CA3"/>
    <w:rsid w:val="00AC43CA"/>
    <w:rsid w:val="00AD4603"/>
    <w:rsid w:val="00AD632F"/>
    <w:rsid w:val="00AD6C69"/>
    <w:rsid w:val="00AF15F7"/>
    <w:rsid w:val="00AF727D"/>
    <w:rsid w:val="00B24EAB"/>
    <w:rsid w:val="00B568E8"/>
    <w:rsid w:val="00B70620"/>
    <w:rsid w:val="00BA5780"/>
    <w:rsid w:val="00BE7272"/>
    <w:rsid w:val="00C050A6"/>
    <w:rsid w:val="00C61419"/>
    <w:rsid w:val="00C715D9"/>
    <w:rsid w:val="00C95BFC"/>
    <w:rsid w:val="00CC1201"/>
    <w:rsid w:val="00CC2FE7"/>
    <w:rsid w:val="00CC7685"/>
    <w:rsid w:val="00CE3BAC"/>
    <w:rsid w:val="00CF6B9E"/>
    <w:rsid w:val="00D26EF4"/>
    <w:rsid w:val="00D576EF"/>
    <w:rsid w:val="00D64BAA"/>
    <w:rsid w:val="00D70E44"/>
    <w:rsid w:val="00D90696"/>
    <w:rsid w:val="00DF719D"/>
    <w:rsid w:val="00E00530"/>
    <w:rsid w:val="00E0190B"/>
    <w:rsid w:val="00E01B52"/>
    <w:rsid w:val="00E04D14"/>
    <w:rsid w:val="00E52A85"/>
    <w:rsid w:val="00E5515E"/>
    <w:rsid w:val="00E73243"/>
    <w:rsid w:val="00EA6AB1"/>
    <w:rsid w:val="00EC147C"/>
    <w:rsid w:val="00EE14A6"/>
    <w:rsid w:val="00EE1ACC"/>
    <w:rsid w:val="00F14615"/>
    <w:rsid w:val="00F165EE"/>
    <w:rsid w:val="00F570A8"/>
    <w:rsid w:val="00FC7A7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74CA3-747B-4679-874C-EF0FA50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1A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1A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1AC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1EAD"/>
    <w:pPr>
      <w:ind w:left="720"/>
      <w:contextualSpacing/>
    </w:pPr>
  </w:style>
  <w:style w:type="paragraph" w:styleId="Sinespaciado">
    <w:name w:val="No Spacing"/>
    <w:uiPriority w:val="1"/>
    <w:qFormat/>
    <w:rsid w:val="00492D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502"/>
  </w:style>
  <w:style w:type="paragraph" w:styleId="Piedepgina">
    <w:name w:val="footer"/>
    <w:basedOn w:val="Normal"/>
    <w:link w:val="PiedepginaCar"/>
    <w:uiPriority w:val="99"/>
    <w:unhideWhenUsed/>
    <w:rsid w:val="0070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A050-BA1D-4FC0-B603-31CF4EB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8</cp:revision>
  <cp:lastPrinted>2016-02-11T20:03:00Z</cp:lastPrinted>
  <dcterms:created xsi:type="dcterms:W3CDTF">2016-04-06T17:45:00Z</dcterms:created>
  <dcterms:modified xsi:type="dcterms:W3CDTF">2016-04-13T15:21:00Z</dcterms:modified>
</cp:coreProperties>
</file>