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DA" w:rsidRDefault="002600DA" w:rsidP="002600DA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  <w:r w:rsidRPr="004720E3">
        <w:rPr>
          <w:rFonts w:ascii="Times New Roman" w:eastAsia="Times New Roman" w:hAnsi="Times New Roman" w:cs="Times New Roman"/>
          <w:b/>
          <w:bCs/>
          <w:lang w:eastAsia="es-ES"/>
        </w:rPr>
        <w:t xml:space="preserve">RENTA – ACTUAL LEY SOBRE IMPUESTO A LA – </w:t>
      </w:r>
      <w:r>
        <w:rPr>
          <w:rFonts w:ascii="Times New Roman" w:eastAsia="Times New Roman" w:hAnsi="Times New Roman" w:cs="Times New Roman"/>
          <w:b/>
          <w:bCs/>
          <w:lang w:eastAsia="es-ES"/>
        </w:rPr>
        <w:t>ART. 42, N°1, N°2, ART. 43, N°1, N°2, ART. 74, N°2 – CÓDIGO DEL TRABAJO, ART. 145-L –CIRCULAR N° 60, DE 2007 – OFICIO N° 288, DE 2008. (ORD. N° 1951, DE 06.07.2016)</w:t>
      </w:r>
    </w:p>
    <w:p w:rsidR="002600DA" w:rsidRPr="002600DA" w:rsidRDefault="002600DA" w:rsidP="002600DA">
      <w:pPr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</w:p>
    <w:p w:rsidR="00483017" w:rsidRDefault="001D1457" w:rsidP="0053578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35781">
        <w:rPr>
          <w:rFonts w:ascii="Times New Roman" w:hAnsi="Times New Roman" w:cs="Times New Roman"/>
          <w:b/>
        </w:rPr>
        <w:t>Solicita informe sobre artículo 145-L del Código del Trabajo</w:t>
      </w:r>
      <w:r w:rsidR="006F3670" w:rsidRPr="00535781">
        <w:rPr>
          <w:rFonts w:ascii="Times New Roman" w:hAnsi="Times New Roman" w:cs="Times New Roman"/>
          <w:b/>
        </w:rPr>
        <w:t>.</w:t>
      </w:r>
      <w:r w:rsidR="00483017" w:rsidRPr="00535781">
        <w:rPr>
          <w:rFonts w:ascii="Times New Roman" w:hAnsi="Times New Roman" w:cs="Times New Roman"/>
          <w:b/>
        </w:rPr>
        <w:t xml:space="preserve"> </w:t>
      </w:r>
    </w:p>
    <w:p w:rsidR="00D7452C" w:rsidRPr="00535781" w:rsidRDefault="00D7452C" w:rsidP="0053578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706A9" w:rsidRPr="004925F8" w:rsidRDefault="001D1457" w:rsidP="001D1457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4925F8">
        <w:rPr>
          <w:rFonts w:ascii="Times New Roman" w:hAnsi="Times New Roman" w:cs="Times New Roman"/>
          <w:b/>
        </w:rPr>
        <w:t>I</w:t>
      </w:r>
      <w:r w:rsidRPr="004925F8">
        <w:rPr>
          <w:rFonts w:ascii="Times New Roman" w:hAnsi="Times New Roman" w:cs="Times New Roman"/>
          <w:b/>
        </w:rPr>
        <w:tab/>
      </w:r>
      <w:r w:rsidR="005706A9" w:rsidRPr="004925F8">
        <w:rPr>
          <w:rFonts w:ascii="Times New Roman" w:hAnsi="Times New Roman" w:cs="Times New Roman"/>
          <w:b/>
        </w:rPr>
        <w:t>ANTECEDENTES</w:t>
      </w:r>
    </w:p>
    <w:p w:rsidR="004F7C60" w:rsidRPr="004925F8" w:rsidRDefault="005C7D2F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>Mediante el O</w:t>
      </w:r>
      <w:r w:rsidR="00770D66" w:rsidRPr="004925F8">
        <w:rPr>
          <w:rFonts w:ascii="Times New Roman" w:hAnsi="Times New Roman" w:cs="Times New Roman"/>
        </w:rPr>
        <w:t>ficio indicado en el antecedente, y l</w:t>
      </w:r>
      <w:r w:rsidR="004F7C60" w:rsidRPr="004925F8">
        <w:rPr>
          <w:rFonts w:ascii="Times New Roman" w:hAnsi="Times New Roman" w:cs="Times New Roman"/>
        </w:rPr>
        <w:t xml:space="preserve">uego de transcribir </w:t>
      </w:r>
      <w:r w:rsidR="005706A9" w:rsidRPr="004925F8">
        <w:rPr>
          <w:rFonts w:ascii="Times New Roman" w:hAnsi="Times New Roman" w:cs="Times New Roman"/>
        </w:rPr>
        <w:t>el</w:t>
      </w:r>
      <w:r w:rsidR="004F7C60" w:rsidRPr="004925F8">
        <w:rPr>
          <w:rFonts w:ascii="Times New Roman" w:hAnsi="Times New Roman" w:cs="Times New Roman"/>
        </w:rPr>
        <w:t xml:space="preserve"> artículo 1</w:t>
      </w:r>
      <w:r w:rsidR="0071142C" w:rsidRPr="004925F8">
        <w:rPr>
          <w:rFonts w:ascii="Times New Roman" w:hAnsi="Times New Roman" w:cs="Times New Roman"/>
        </w:rPr>
        <w:t>45-L</w:t>
      </w:r>
      <w:r w:rsidR="00316B3E" w:rsidRPr="004925F8">
        <w:rPr>
          <w:rFonts w:ascii="Times New Roman" w:hAnsi="Times New Roman" w:cs="Times New Roman"/>
        </w:rPr>
        <w:t xml:space="preserve"> del Código del Trabajo</w:t>
      </w:r>
      <w:r w:rsidR="00C25162" w:rsidRPr="004925F8">
        <w:rPr>
          <w:rFonts w:ascii="Times New Roman" w:hAnsi="Times New Roman" w:cs="Times New Roman"/>
        </w:rPr>
        <w:t>,</w:t>
      </w:r>
      <w:r w:rsidR="004F7C60" w:rsidRPr="004925F8">
        <w:rPr>
          <w:rFonts w:ascii="Times New Roman" w:hAnsi="Times New Roman" w:cs="Times New Roman"/>
        </w:rPr>
        <w:t xml:space="preserve"> esa Subsecretaría informa que el </w:t>
      </w:r>
      <w:r w:rsidR="00CE7F50" w:rsidRPr="004925F8">
        <w:rPr>
          <w:rFonts w:ascii="Times New Roman" w:hAnsi="Times New Roman" w:cs="Times New Roman"/>
        </w:rPr>
        <w:t xml:space="preserve">estudio </w:t>
      </w:r>
      <w:r w:rsidR="00AF1ED5" w:rsidRPr="004925F8">
        <w:rPr>
          <w:rFonts w:ascii="Times New Roman" w:hAnsi="Times New Roman" w:cs="Times New Roman"/>
        </w:rPr>
        <w:t xml:space="preserve">de </w:t>
      </w:r>
      <w:r w:rsidR="004F7C60" w:rsidRPr="004925F8">
        <w:rPr>
          <w:rFonts w:ascii="Times New Roman" w:hAnsi="Times New Roman" w:cs="Times New Roman"/>
        </w:rPr>
        <w:t>la</w:t>
      </w:r>
      <w:r w:rsidR="00AF1ED5" w:rsidRPr="004925F8">
        <w:rPr>
          <w:rFonts w:ascii="Times New Roman" w:hAnsi="Times New Roman" w:cs="Times New Roman"/>
        </w:rPr>
        <w:t xml:space="preserve"> norma t</w:t>
      </w:r>
      <w:r w:rsidR="00065AAD" w:rsidRPr="004925F8">
        <w:rPr>
          <w:rFonts w:ascii="Times New Roman" w:hAnsi="Times New Roman" w:cs="Times New Roman"/>
        </w:rPr>
        <w:t>e</w:t>
      </w:r>
      <w:r w:rsidR="00AF1ED5" w:rsidRPr="004925F8">
        <w:rPr>
          <w:rFonts w:ascii="Times New Roman" w:hAnsi="Times New Roman" w:cs="Times New Roman"/>
        </w:rPr>
        <w:t>ndría</w:t>
      </w:r>
      <w:r w:rsidR="00065AAD" w:rsidRPr="004925F8">
        <w:rPr>
          <w:rFonts w:ascii="Times New Roman" w:hAnsi="Times New Roman" w:cs="Times New Roman"/>
        </w:rPr>
        <w:t xml:space="preserve"> como fundamento </w:t>
      </w:r>
      <w:r w:rsidR="004F7C60" w:rsidRPr="004925F8">
        <w:rPr>
          <w:rFonts w:ascii="Times New Roman" w:hAnsi="Times New Roman" w:cs="Times New Roman"/>
        </w:rPr>
        <w:t xml:space="preserve">la existencia de </w:t>
      </w:r>
      <w:r w:rsidR="00065AAD" w:rsidRPr="004925F8">
        <w:rPr>
          <w:rFonts w:ascii="Times New Roman" w:hAnsi="Times New Roman" w:cs="Times New Roman"/>
        </w:rPr>
        <w:t>presentaciones y exposiciones</w:t>
      </w:r>
      <w:r w:rsidR="00C122CC" w:rsidRPr="004925F8">
        <w:rPr>
          <w:rFonts w:ascii="Times New Roman" w:hAnsi="Times New Roman" w:cs="Times New Roman"/>
        </w:rPr>
        <w:t xml:space="preserve"> realizadas por l</w:t>
      </w:r>
      <w:r w:rsidR="00EF3597" w:rsidRPr="004925F8">
        <w:rPr>
          <w:rFonts w:ascii="Times New Roman" w:hAnsi="Times New Roman" w:cs="Times New Roman"/>
        </w:rPr>
        <w:t xml:space="preserve">as organizaciones que representan a </w:t>
      </w:r>
      <w:r w:rsidR="004F7C60" w:rsidRPr="004925F8">
        <w:rPr>
          <w:rFonts w:ascii="Times New Roman" w:hAnsi="Times New Roman" w:cs="Times New Roman"/>
        </w:rPr>
        <w:t>los</w:t>
      </w:r>
      <w:r w:rsidR="00EF3597" w:rsidRPr="004925F8">
        <w:rPr>
          <w:rFonts w:ascii="Times New Roman" w:hAnsi="Times New Roman" w:cs="Times New Roman"/>
        </w:rPr>
        <w:t xml:space="preserve"> trabajadores</w:t>
      </w:r>
      <w:r w:rsidR="004F7C60" w:rsidRPr="004925F8">
        <w:rPr>
          <w:rFonts w:ascii="Times New Roman" w:hAnsi="Times New Roman" w:cs="Times New Roman"/>
        </w:rPr>
        <w:t xml:space="preserve"> de las artes y espectáculos</w:t>
      </w:r>
      <w:r w:rsidR="00CE7F50" w:rsidRPr="004925F8">
        <w:rPr>
          <w:rFonts w:ascii="Times New Roman" w:hAnsi="Times New Roman" w:cs="Times New Roman"/>
        </w:rPr>
        <w:t xml:space="preserve">, </w:t>
      </w:r>
      <w:r w:rsidR="004F7C60" w:rsidRPr="004925F8">
        <w:rPr>
          <w:rFonts w:ascii="Times New Roman" w:hAnsi="Times New Roman" w:cs="Times New Roman"/>
        </w:rPr>
        <w:t>en el sentido que la</w:t>
      </w:r>
      <w:r w:rsidR="00C122CC" w:rsidRPr="004925F8">
        <w:rPr>
          <w:rFonts w:ascii="Times New Roman" w:hAnsi="Times New Roman" w:cs="Times New Roman"/>
        </w:rPr>
        <w:t xml:space="preserve"> norma</w:t>
      </w:r>
      <w:r w:rsidR="004F7C60" w:rsidRPr="004925F8">
        <w:rPr>
          <w:rFonts w:ascii="Times New Roman" w:hAnsi="Times New Roman" w:cs="Times New Roman"/>
        </w:rPr>
        <w:t xml:space="preserve"> obliga a los referidos</w:t>
      </w:r>
      <w:r w:rsidR="00CE7F50" w:rsidRPr="004925F8">
        <w:rPr>
          <w:rFonts w:ascii="Times New Roman" w:hAnsi="Times New Roman" w:cs="Times New Roman"/>
        </w:rPr>
        <w:t xml:space="preserve"> trabajador</w:t>
      </w:r>
      <w:r w:rsidR="004F7C60" w:rsidRPr="004925F8">
        <w:rPr>
          <w:rFonts w:ascii="Times New Roman" w:hAnsi="Times New Roman" w:cs="Times New Roman"/>
        </w:rPr>
        <w:t>es</w:t>
      </w:r>
      <w:r w:rsidR="00CE7F50" w:rsidRPr="004925F8">
        <w:rPr>
          <w:rFonts w:ascii="Times New Roman" w:hAnsi="Times New Roman" w:cs="Times New Roman"/>
        </w:rPr>
        <w:t xml:space="preserve"> a emitir boleta de honorarios por el valor bruto de las remuneraciones percibidas, sin deducción de las cotizaciones previsionales, las cuales </w:t>
      </w:r>
      <w:r w:rsidR="00D973DB" w:rsidRPr="004925F8">
        <w:rPr>
          <w:rFonts w:ascii="Times New Roman" w:hAnsi="Times New Roman" w:cs="Times New Roman"/>
        </w:rPr>
        <w:t xml:space="preserve">siguen siendo de cargo del empleador. </w:t>
      </w:r>
    </w:p>
    <w:p w:rsidR="00433C44" w:rsidRPr="004925F8" w:rsidRDefault="00D973DB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 xml:space="preserve">En los hechos, </w:t>
      </w:r>
      <w:r w:rsidR="009829F5" w:rsidRPr="004925F8">
        <w:rPr>
          <w:rFonts w:ascii="Times New Roman" w:hAnsi="Times New Roman" w:cs="Times New Roman"/>
        </w:rPr>
        <w:t xml:space="preserve">esto </w:t>
      </w:r>
      <w:r w:rsidR="00770D66" w:rsidRPr="004925F8">
        <w:rPr>
          <w:rFonts w:ascii="Times New Roman" w:hAnsi="Times New Roman" w:cs="Times New Roman"/>
        </w:rPr>
        <w:t>encarece</w:t>
      </w:r>
      <w:r w:rsidRPr="004925F8">
        <w:rPr>
          <w:rFonts w:ascii="Times New Roman" w:hAnsi="Times New Roman" w:cs="Times New Roman"/>
        </w:rPr>
        <w:t xml:space="preserve"> la contratación en el sector, desincentivando la generación de empleo, toda vez que las productoras tendrían una doble carga: las cotizaciones de salud y previsión, más la retención del 10% por concepto del impuesto a la renta de segunda categoría. Lo anterior</w:t>
      </w:r>
      <w:r w:rsidR="00EF3597" w:rsidRPr="004925F8">
        <w:rPr>
          <w:rFonts w:ascii="Times New Roman" w:hAnsi="Times New Roman" w:cs="Times New Roman"/>
        </w:rPr>
        <w:t xml:space="preserve"> se tornaría más grave, al parecer de esas organizaciones, al constatar que son los únicos empleadores sometidos a este </w:t>
      </w:r>
      <w:r w:rsidR="00CA7194" w:rsidRPr="004925F8">
        <w:rPr>
          <w:rFonts w:ascii="Times New Roman" w:hAnsi="Times New Roman" w:cs="Times New Roman"/>
        </w:rPr>
        <w:t>régimen</w:t>
      </w:r>
      <w:r w:rsidR="00EF3597" w:rsidRPr="004925F8">
        <w:rPr>
          <w:rFonts w:ascii="Times New Roman" w:hAnsi="Times New Roman" w:cs="Times New Roman"/>
        </w:rPr>
        <w:t>.</w:t>
      </w:r>
    </w:p>
    <w:p w:rsidR="004F7C60" w:rsidRPr="004925F8" w:rsidRDefault="00960E9E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 xml:space="preserve">Se </w:t>
      </w:r>
      <w:r w:rsidR="00174A38" w:rsidRPr="004925F8">
        <w:rPr>
          <w:rFonts w:ascii="Times New Roman" w:hAnsi="Times New Roman" w:cs="Times New Roman"/>
        </w:rPr>
        <w:t xml:space="preserve">agrega que </w:t>
      </w:r>
      <w:r w:rsidR="004F7C60" w:rsidRPr="004925F8">
        <w:rPr>
          <w:rFonts w:ascii="Times New Roman" w:hAnsi="Times New Roman" w:cs="Times New Roman"/>
        </w:rPr>
        <w:t>este</w:t>
      </w:r>
      <w:r w:rsidR="00174A38" w:rsidRPr="004925F8">
        <w:rPr>
          <w:rFonts w:ascii="Times New Roman" w:hAnsi="Times New Roman" w:cs="Times New Roman"/>
        </w:rPr>
        <w:t xml:space="preserve"> diagnóstico </w:t>
      </w:r>
      <w:r w:rsidR="004F7C60" w:rsidRPr="004925F8">
        <w:rPr>
          <w:rFonts w:ascii="Times New Roman" w:hAnsi="Times New Roman" w:cs="Times New Roman"/>
        </w:rPr>
        <w:t xml:space="preserve">seria </w:t>
      </w:r>
      <w:r w:rsidR="00174A38" w:rsidRPr="004925F8">
        <w:rPr>
          <w:rFonts w:ascii="Times New Roman" w:hAnsi="Times New Roman" w:cs="Times New Roman"/>
        </w:rPr>
        <w:t>compartido</w:t>
      </w:r>
      <w:r w:rsidR="009B5E39" w:rsidRPr="004925F8">
        <w:rPr>
          <w:rFonts w:ascii="Times New Roman" w:hAnsi="Times New Roman" w:cs="Times New Roman"/>
        </w:rPr>
        <w:t xml:space="preserve"> por las organizaciones </w:t>
      </w:r>
      <w:r w:rsidR="004F7C60" w:rsidRPr="004925F8">
        <w:rPr>
          <w:rFonts w:ascii="Times New Roman" w:hAnsi="Times New Roman" w:cs="Times New Roman"/>
        </w:rPr>
        <w:t xml:space="preserve">gremiales o sindicales que agrupan a estos trabajadores, </w:t>
      </w:r>
      <w:r w:rsidR="009B5E39" w:rsidRPr="004925F8">
        <w:rPr>
          <w:rFonts w:ascii="Times New Roman" w:hAnsi="Times New Roman" w:cs="Times New Roman"/>
        </w:rPr>
        <w:t xml:space="preserve">existiendo dudas </w:t>
      </w:r>
      <w:r w:rsidR="00E23606" w:rsidRPr="004925F8">
        <w:rPr>
          <w:rFonts w:ascii="Times New Roman" w:hAnsi="Times New Roman" w:cs="Times New Roman"/>
        </w:rPr>
        <w:t xml:space="preserve">respecto del alcance de la nueva norma, en particular si por el hecho de emitir una boleta de honorarios se podría desconocer el vínculo laboral entre el trabajador y la productora. </w:t>
      </w:r>
    </w:p>
    <w:p w:rsidR="00C34ADA" w:rsidRPr="004925F8" w:rsidRDefault="004F7C60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>Informa que e</w:t>
      </w:r>
      <w:r w:rsidR="00E23606" w:rsidRPr="004925F8">
        <w:rPr>
          <w:rFonts w:ascii="Times New Roman" w:hAnsi="Times New Roman" w:cs="Times New Roman"/>
        </w:rPr>
        <w:t>stas dudas se habrí</w:t>
      </w:r>
      <w:r w:rsidRPr="004925F8">
        <w:rPr>
          <w:rFonts w:ascii="Times New Roman" w:hAnsi="Times New Roman" w:cs="Times New Roman"/>
        </w:rPr>
        <w:t xml:space="preserve">an aclarado en un pronunciamiento </w:t>
      </w:r>
      <w:r w:rsidR="007B65CD" w:rsidRPr="004925F8">
        <w:rPr>
          <w:rFonts w:ascii="Times New Roman" w:hAnsi="Times New Roman" w:cs="Times New Roman"/>
        </w:rPr>
        <w:t>de la Dirección del Trabajo</w:t>
      </w:r>
      <w:r w:rsidRPr="004925F8">
        <w:rPr>
          <w:rStyle w:val="Refdenotaalpie"/>
          <w:rFonts w:ascii="Times New Roman" w:hAnsi="Times New Roman" w:cs="Times New Roman"/>
        </w:rPr>
        <w:footnoteReference w:id="1"/>
      </w:r>
      <w:r w:rsidR="007B65CD" w:rsidRPr="004925F8">
        <w:rPr>
          <w:rFonts w:ascii="Times New Roman" w:hAnsi="Times New Roman" w:cs="Times New Roman"/>
        </w:rPr>
        <w:t xml:space="preserve">, </w:t>
      </w:r>
      <w:r w:rsidRPr="004925F8">
        <w:rPr>
          <w:rFonts w:ascii="Times New Roman" w:hAnsi="Times New Roman" w:cs="Times New Roman"/>
        </w:rPr>
        <w:t xml:space="preserve">donde se resuelve que, </w:t>
      </w:r>
      <w:r w:rsidR="007B65CD" w:rsidRPr="004925F8">
        <w:rPr>
          <w:rFonts w:ascii="Times New Roman" w:hAnsi="Times New Roman" w:cs="Times New Roman"/>
        </w:rPr>
        <w:t xml:space="preserve">sin perjuicio de la boleta, la relación contractual de tipo laboral no se ve afectada en caso alguno, </w:t>
      </w:r>
      <w:r w:rsidR="00BE487B" w:rsidRPr="004925F8">
        <w:rPr>
          <w:rFonts w:ascii="Times New Roman" w:hAnsi="Times New Roman" w:cs="Times New Roman"/>
        </w:rPr>
        <w:t xml:space="preserve">porque lo dispuesto en el </w:t>
      </w:r>
      <w:r w:rsidR="007B65CD" w:rsidRPr="004925F8">
        <w:rPr>
          <w:rFonts w:ascii="Times New Roman" w:hAnsi="Times New Roman" w:cs="Times New Roman"/>
        </w:rPr>
        <w:t xml:space="preserve">artículo </w:t>
      </w:r>
      <w:r w:rsidR="00BE487B" w:rsidRPr="004925F8">
        <w:rPr>
          <w:rFonts w:ascii="Times New Roman" w:hAnsi="Times New Roman" w:cs="Times New Roman"/>
        </w:rPr>
        <w:t xml:space="preserve">145-L del Código del Trabajo </w:t>
      </w:r>
      <w:r w:rsidR="00531933" w:rsidRPr="004925F8">
        <w:rPr>
          <w:rFonts w:ascii="Times New Roman" w:hAnsi="Times New Roman" w:cs="Times New Roman"/>
        </w:rPr>
        <w:t>es solo para fines tributarios</w:t>
      </w:r>
      <w:r w:rsidR="00BE487B" w:rsidRPr="004925F8">
        <w:rPr>
          <w:rFonts w:ascii="Times New Roman" w:hAnsi="Times New Roman" w:cs="Times New Roman"/>
        </w:rPr>
        <w:t>,</w:t>
      </w:r>
      <w:r w:rsidRPr="004925F8">
        <w:rPr>
          <w:rFonts w:ascii="Times New Roman" w:hAnsi="Times New Roman" w:cs="Times New Roman"/>
        </w:rPr>
        <w:t xml:space="preserve"> parafraseando el O</w:t>
      </w:r>
      <w:r w:rsidR="0069393A" w:rsidRPr="004925F8">
        <w:rPr>
          <w:rFonts w:ascii="Times New Roman" w:hAnsi="Times New Roman" w:cs="Times New Roman"/>
        </w:rPr>
        <w:t>ficio N° 288</w:t>
      </w:r>
      <w:r w:rsidRPr="004925F8">
        <w:rPr>
          <w:rFonts w:ascii="Times New Roman" w:hAnsi="Times New Roman" w:cs="Times New Roman"/>
        </w:rPr>
        <w:t xml:space="preserve"> y C</w:t>
      </w:r>
      <w:r w:rsidR="00531933" w:rsidRPr="004925F8">
        <w:rPr>
          <w:rFonts w:ascii="Times New Roman" w:hAnsi="Times New Roman" w:cs="Times New Roman"/>
        </w:rPr>
        <w:t>ircular N° 60</w:t>
      </w:r>
      <w:r w:rsidR="00C705D4" w:rsidRPr="004925F8">
        <w:rPr>
          <w:rFonts w:ascii="Times New Roman" w:hAnsi="Times New Roman" w:cs="Times New Roman"/>
        </w:rPr>
        <w:t>, ambos</w:t>
      </w:r>
      <w:r w:rsidR="00531933" w:rsidRPr="004925F8">
        <w:rPr>
          <w:rFonts w:ascii="Times New Roman" w:hAnsi="Times New Roman" w:cs="Times New Roman"/>
        </w:rPr>
        <w:t xml:space="preserve"> </w:t>
      </w:r>
      <w:r w:rsidRPr="004925F8">
        <w:rPr>
          <w:rFonts w:ascii="Times New Roman" w:hAnsi="Times New Roman" w:cs="Times New Roman"/>
        </w:rPr>
        <w:t xml:space="preserve">emitidos por este Servicio </w:t>
      </w:r>
      <w:r w:rsidR="00531933" w:rsidRPr="004925F8">
        <w:rPr>
          <w:rFonts w:ascii="Times New Roman" w:hAnsi="Times New Roman" w:cs="Times New Roman"/>
        </w:rPr>
        <w:t xml:space="preserve">el </w:t>
      </w:r>
      <w:r w:rsidR="005926F7" w:rsidRPr="004925F8">
        <w:rPr>
          <w:rFonts w:ascii="Times New Roman" w:hAnsi="Times New Roman" w:cs="Times New Roman"/>
        </w:rPr>
        <w:t>año 2008.</w:t>
      </w:r>
    </w:p>
    <w:p w:rsidR="004D7734" w:rsidRDefault="004F7C60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>H</w:t>
      </w:r>
      <w:r w:rsidR="00061735" w:rsidRPr="004925F8">
        <w:rPr>
          <w:rFonts w:ascii="Times New Roman" w:hAnsi="Times New Roman" w:cs="Times New Roman"/>
        </w:rPr>
        <w:t>abiendo recogido lo manifest</w:t>
      </w:r>
      <w:r w:rsidRPr="004925F8">
        <w:rPr>
          <w:rFonts w:ascii="Times New Roman" w:hAnsi="Times New Roman" w:cs="Times New Roman"/>
        </w:rPr>
        <w:t xml:space="preserve">ado por los actores del sector y sometido a estudio, </w:t>
      </w:r>
      <w:r w:rsidR="00061735" w:rsidRPr="004925F8">
        <w:rPr>
          <w:rFonts w:ascii="Times New Roman" w:hAnsi="Times New Roman" w:cs="Times New Roman"/>
        </w:rPr>
        <w:t xml:space="preserve">considera relevante conocer la opinión de este Servicio, </w:t>
      </w:r>
      <w:r w:rsidR="00573CD0" w:rsidRPr="004925F8">
        <w:rPr>
          <w:rFonts w:ascii="Times New Roman" w:hAnsi="Times New Roman" w:cs="Times New Roman"/>
        </w:rPr>
        <w:t>atendido que</w:t>
      </w:r>
      <w:r w:rsidR="00061735" w:rsidRPr="004925F8">
        <w:rPr>
          <w:rFonts w:ascii="Times New Roman" w:hAnsi="Times New Roman" w:cs="Times New Roman"/>
        </w:rPr>
        <w:t xml:space="preserve"> la norma </w:t>
      </w:r>
      <w:r w:rsidR="00573CD0" w:rsidRPr="004925F8">
        <w:rPr>
          <w:rFonts w:ascii="Times New Roman" w:hAnsi="Times New Roman" w:cs="Times New Roman"/>
        </w:rPr>
        <w:t>eventualmente se modificaría</w:t>
      </w:r>
      <w:r w:rsidR="005F52C0" w:rsidRPr="004925F8">
        <w:rPr>
          <w:rFonts w:ascii="Times New Roman" w:hAnsi="Times New Roman" w:cs="Times New Roman"/>
        </w:rPr>
        <w:t>.</w:t>
      </w:r>
    </w:p>
    <w:p w:rsidR="00D7452C" w:rsidRPr="004925F8" w:rsidRDefault="00D7452C" w:rsidP="001D1457">
      <w:pPr>
        <w:spacing w:line="240" w:lineRule="auto"/>
        <w:jc w:val="both"/>
        <w:rPr>
          <w:rFonts w:ascii="Times New Roman" w:hAnsi="Times New Roman" w:cs="Times New Roman"/>
        </w:rPr>
      </w:pPr>
    </w:p>
    <w:p w:rsidR="004D7734" w:rsidRPr="004925F8" w:rsidRDefault="00573CD0" w:rsidP="00573CD0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4925F8">
        <w:rPr>
          <w:rFonts w:ascii="Times New Roman" w:hAnsi="Times New Roman" w:cs="Times New Roman"/>
          <w:b/>
        </w:rPr>
        <w:t>II</w:t>
      </w:r>
      <w:r w:rsidRPr="004925F8">
        <w:rPr>
          <w:rFonts w:ascii="Times New Roman" w:hAnsi="Times New Roman" w:cs="Times New Roman"/>
          <w:b/>
        </w:rPr>
        <w:tab/>
      </w:r>
      <w:r w:rsidR="004D7734" w:rsidRPr="004925F8">
        <w:rPr>
          <w:rFonts w:ascii="Times New Roman" w:hAnsi="Times New Roman" w:cs="Times New Roman"/>
          <w:b/>
        </w:rPr>
        <w:t>ANÁLISIS</w:t>
      </w:r>
    </w:p>
    <w:p w:rsidR="00573CD0" w:rsidRPr="004925F8" w:rsidRDefault="00573CD0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 xml:space="preserve">Como primera cuestión, cabe señalar que el Ordinario de esa Subsecretaría no explica </w:t>
      </w:r>
      <w:r w:rsidR="00BE487B" w:rsidRPr="004925F8">
        <w:rPr>
          <w:rFonts w:ascii="Times New Roman" w:hAnsi="Times New Roman" w:cs="Times New Roman"/>
        </w:rPr>
        <w:t>en qué consiste precisamente la modificación que se estudia introducir a la norma</w:t>
      </w:r>
      <w:r w:rsidRPr="004925F8">
        <w:rPr>
          <w:rFonts w:ascii="Times New Roman" w:hAnsi="Times New Roman" w:cs="Times New Roman"/>
        </w:rPr>
        <w:t xml:space="preserve">. </w:t>
      </w:r>
    </w:p>
    <w:p w:rsidR="009523C9" w:rsidRPr="004925F8" w:rsidRDefault="00573CD0" w:rsidP="009523C9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 xml:space="preserve">Por </w:t>
      </w:r>
      <w:r w:rsidR="009523C9" w:rsidRPr="004925F8">
        <w:rPr>
          <w:rFonts w:ascii="Times New Roman" w:hAnsi="Times New Roman" w:cs="Times New Roman"/>
        </w:rPr>
        <w:t>otra</w:t>
      </w:r>
      <w:r w:rsidRPr="004925F8">
        <w:rPr>
          <w:rFonts w:ascii="Times New Roman" w:hAnsi="Times New Roman" w:cs="Times New Roman"/>
        </w:rPr>
        <w:t xml:space="preserve"> parte, es conveniente reiterar que</w:t>
      </w:r>
      <w:r w:rsidR="009523C9" w:rsidRPr="004925F8">
        <w:rPr>
          <w:rFonts w:ascii="Times New Roman" w:hAnsi="Times New Roman" w:cs="Times New Roman"/>
        </w:rPr>
        <w:t>, de acuerdo al artículo 1° de la Ley Orgánica del Servicio de Impuestos Internos, contenida en el artículo primero del DFL N° 7, de 1980, del Ministerio de Hacienda, y al artículo 6° del Código Tributario, corresponde a este Servicio interpretar, aplicar y fiscalizar las normas tributarias cuyo control no esté encomendado por</w:t>
      </w:r>
      <w:r w:rsidR="00BE487B" w:rsidRPr="004925F8">
        <w:rPr>
          <w:rFonts w:ascii="Times New Roman" w:hAnsi="Times New Roman" w:cs="Times New Roman"/>
        </w:rPr>
        <w:t xml:space="preserve"> ley a una autoridad diferente; de suerte que no compete este Servicio pronunciarse sobre la deducción de las cotizaciones previsionales o si quien debe soportarlas económicamente sea el empleador o el trabajador.</w:t>
      </w:r>
      <w:r w:rsidR="00925B2D" w:rsidRPr="004925F8">
        <w:rPr>
          <w:rFonts w:ascii="Times New Roman" w:hAnsi="Times New Roman" w:cs="Times New Roman"/>
        </w:rPr>
        <w:t xml:space="preserve"> </w:t>
      </w:r>
    </w:p>
    <w:p w:rsidR="009523C9" w:rsidRPr="004925F8" w:rsidRDefault="009523C9" w:rsidP="00F9401E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 xml:space="preserve">Aclarado lo anterior y en lo que respecta al artículo 145-L del Código del Trabajo, es pertinente una breve relación del tratamiento tributario aplicable a </w:t>
      </w:r>
      <w:r w:rsidR="007A02C0" w:rsidRPr="004925F8">
        <w:rPr>
          <w:rFonts w:ascii="Times New Roman" w:hAnsi="Times New Roman" w:cs="Times New Roman"/>
        </w:rPr>
        <w:t>las remuneraciones percibidas por los traba</w:t>
      </w:r>
      <w:r w:rsidRPr="004925F8">
        <w:rPr>
          <w:rFonts w:ascii="Times New Roman" w:hAnsi="Times New Roman" w:cs="Times New Roman"/>
        </w:rPr>
        <w:t xml:space="preserve">jadores de artes y espectáculos, tras </w:t>
      </w:r>
      <w:r w:rsidR="00525FED" w:rsidRPr="004925F8">
        <w:rPr>
          <w:rFonts w:ascii="Times New Roman" w:hAnsi="Times New Roman" w:cs="Times New Roman"/>
        </w:rPr>
        <w:t xml:space="preserve">las modificaciones introducidas </w:t>
      </w:r>
      <w:r w:rsidR="004B7519" w:rsidRPr="004925F8">
        <w:rPr>
          <w:rFonts w:ascii="Times New Roman" w:hAnsi="Times New Roman" w:cs="Times New Roman"/>
        </w:rPr>
        <w:t>a</w:t>
      </w:r>
      <w:r w:rsidR="00525FED" w:rsidRPr="004925F8">
        <w:rPr>
          <w:rFonts w:ascii="Times New Roman" w:hAnsi="Times New Roman" w:cs="Times New Roman"/>
        </w:rPr>
        <w:t>l Código del Trabajo</w:t>
      </w:r>
      <w:r w:rsidR="00B61A60" w:rsidRPr="004925F8">
        <w:rPr>
          <w:rFonts w:ascii="Times New Roman" w:hAnsi="Times New Roman" w:cs="Times New Roman"/>
        </w:rPr>
        <w:t xml:space="preserve"> por </w:t>
      </w:r>
      <w:r w:rsidRPr="004925F8">
        <w:rPr>
          <w:rFonts w:ascii="Times New Roman" w:hAnsi="Times New Roman" w:cs="Times New Roman"/>
        </w:rPr>
        <w:t xml:space="preserve">la Ley N° </w:t>
      </w:r>
      <w:r w:rsidR="00B61A60" w:rsidRPr="004925F8">
        <w:rPr>
          <w:rFonts w:ascii="Times New Roman" w:hAnsi="Times New Roman" w:cs="Times New Roman"/>
        </w:rPr>
        <w:t>19.889</w:t>
      </w:r>
      <w:r w:rsidR="00BE487B" w:rsidRPr="004925F8">
        <w:rPr>
          <w:rFonts w:ascii="Times New Roman" w:hAnsi="Times New Roman" w:cs="Times New Roman"/>
        </w:rPr>
        <w:t>, que</w:t>
      </w:r>
      <w:r w:rsidRPr="004925F8">
        <w:rPr>
          <w:rFonts w:ascii="Times New Roman" w:hAnsi="Times New Roman" w:cs="Times New Roman"/>
        </w:rPr>
        <w:t xml:space="preserve"> </w:t>
      </w:r>
      <w:r w:rsidR="00F9401E" w:rsidRPr="004925F8">
        <w:rPr>
          <w:rFonts w:ascii="Times New Roman" w:hAnsi="Times New Roman" w:cs="Times New Roman"/>
        </w:rPr>
        <w:t xml:space="preserve">regula las condiciones de trabajo y </w:t>
      </w:r>
      <w:r w:rsidR="00770D66" w:rsidRPr="004925F8">
        <w:rPr>
          <w:rFonts w:ascii="Times New Roman" w:hAnsi="Times New Roman" w:cs="Times New Roman"/>
        </w:rPr>
        <w:t>contratación</w:t>
      </w:r>
      <w:r w:rsidR="00F9401E" w:rsidRPr="004925F8">
        <w:rPr>
          <w:rFonts w:ascii="Times New Roman" w:hAnsi="Times New Roman" w:cs="Times New Roman"/>
        </w:rPr>
        <w:t xml:space="preserve"> de los trabajadores de artes y </w:t>
      </w:r>
      <w:r w:rsidR="00770D66" w:rsidRPr="004925F8">
        <w:rPr>
          <w:rFonts w:ascii="Times New Roman" w:hAnsi="Times New Roman" w:cs="Times New Roman"/>
        </w:rPr>
        <w:t>espectáculos</w:t>
      </w:r>
      <w:r w:rsidR="00F9401E" w:rsidRPr="004925F8">
        <w:rPr>
          <w:rFonts w:ascii="Times New Roman" w:hAnsi="Times New Roman" w:cs="Times New Roman"/>
        </w:rPr>
        <w:t xml:space="preserve">, </w:t>
      </w:r>
      <w:r w:rsidR="00770D66" w:rsidRPr="004925F8">
        <w:rPr>
          <w:rFonts w:ascii="Times New Roman" w:hAnsi="Times New Roman" w:cs="Times New Roman"/>
        </w:rPr>
        <w:t>y la Ley N° 20.219, que destina</w:t>
      </w:r>
      <w:r w:rsidR="00F9401E" w:rsidRPr="004925F8">
        <w:rPr>
          <w:rFonts w:ascii="Times New Roman" w:hAnsi="Times New Roman" w:cs="Times New Roman"/>
        </w:rPr>
        <w:t xml:space="preserve"> recursos par</w:t>
      </w:r>
      <w:r w:rsidR="00770D66" w:rsidRPr="004925F8">
        <w:rPr>
          <w:rFonts w:ascii="Times New Roman" w:hAnsi="Times New Roman" w:cs="Times New Roman"/>
        </w:rPr>
        <w:t>a el fondo de desarrollo de la R</w:t>
      </w:r>
      <w:r w:rsidR="00F9401E" w:rsidRPr="004925F8">
        <w:rPr>
          <w:rFonts w:ascii="Times New Roman" w:hAnsi="Times New Roman" w:cs="Times New Roman"/>
        </w:rPr>
        <w:t xml:space="preserve">egión de </w:t>
      </w:r>
      <w:r w:rsidR="00770D66" w:rsidRPr="004925F8">
        <w:rPr>
          <w:rFonts w:ascii="Times New Roman" w:hAnsi="Times New Roman" w:cs="Times New Roman"/>
        </w:rPr>
        <w:t>Magallanes</w:t>
      </w:r>
      <w:r w:rsidR="00F9401E" w:rsidRPr="004925F8">
        <w:rPr>
          <w:rFonts w:ascii="Times New Roman" w:hAnsi="Times New Roman" w:cs="Times New Roman"/>
        </w:rPr>
        <w:t xml:space="preserve"> y de</w:t>
      </w:r>
      <w:r w:rsidR="00770D66" w:rsidRPr="004925F8">
        <w:rPr>
          <w:rFonts w:ascii="Times New Roman" w:hAnsi="Times New Roman" w:cs="Times New Roman"/>
        </w:rPr>
        <w:t xml:space="preserve"> la A</w:t>
      </w:r>
      <w:r w:rsidR="00F9401E" w:rsidRPr="004925F8">
        <w:rPr>
          <w:rFonts w:ascii="Times New Roman" w:hAnsi="Times New Roman" w:cs="Times New Roman"/>
        </w:rPr>
        <w:t>ntártica chilena y modifica otros cuerpos legales</w:t>
      </w:r>
      <w:r w:rsidR="00770D66" w:rsidRPr="004925F8">
        <w:rPr>
          <w:rFonts w:ascii="Times New Roman" w:hAnsi="Times New Roman" w:cs="Times New Roman"/>
        </w:rPr>
        <w:t xml:space="preserve">. </w:t>
      </w:r>
    </w:p>
    <w:p w:rsidR="00B61A60" w:rsidRPr="004925F8" w:rsidRDefault="00770D66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>La Ley N° 19.889</w:t>
      </w:r>
      <w:r w:rsidR="004B7519" w:rsidRPr="004925F8">
        <w:rPr>
          <w:rFonts w:ascii="Times New Roman" w:hAnsi="Times New Roman" w:cs="Times New Roman"/>
        </w:rPr>
        <w:t xml:space="preserve"> </w:t>
      </w:r>
      <w:r w:rsidR="005D691B" w:rsidRPr="004925F8">
        <w:rPr>
          <w:rFonts w:ascii="Times New Roman" w:hAnsi="Times New Roman" w:cs="Times New Roman"/>
        </w:rPr>
        <w:t>introdujo en el Código del Trabajo el Capítulo IV,</w:t>
      </w:r>
      <w:r w:rsidRPr="004925F8">
        <w:rPr>
          <w:rFonts w:ascii="Times New Roman" w:hAnsi="Times New Roman" w:cs="Times New Roman"/>
        </w:rPr>
        <w:t xml:space="preserve"> relativo al contrato de los trabajadores de artes y espectáculos</w:t>
      </w:r>
      <w:r w:rsidR="00BE487B" w:rsidRPr="004925F8">
        <w:rPr>
          <w:rFonts w:ascii="Times New Roman" w:hAnsi="Times New Roman" w:cs="Times New Roman"/>
        </w:rPr>
        <w:t xml:space="preserve">, </w:t>
      </w:r>
      <w:r w:rsidRPr="004925F8">
        <w:rPr>
          <w:rFonts w:ascii="Times New Roman" w:hAnsi="Times New Roman" w:cs="Times New Roman"/>
        </w:rPr>
        <w:t xml:space="preserve">cuyo texto </w:t>
      </w:r>
      <w:r w:rsidR="0034550D" w:rsidRPr="004925F8">
        <w:rPr>
          <w:rFonts w:ascii="Times New Roman" w:hAnsi="Times New Roman" w:cs="Times New Roman"/>
        </w:rPr>
        <w:t xml:space="preserve">primitivo no </w:t>
      </w:r>
      <w:r w:rsidR="00BE487B" w:rsidRPr="004925F8">
        <w:rPr>
          <w:rFonts w:ascii="Times New Roman" w:hAnsi="Times New Roman" w:cs="Times New Roman"/>
        </w:rPr>
        <w:t>contenía</w:t>
      </w:r>
      <w:r w:rsidR="0034550D" w:rsidRPr="004925F8">
        <w:rPr>
          <w:rFonts w:ascii="Times New Roman" w:hAnsi="Times New Roman" w:cs="Times New Roman"/>
        </w:rPr>
        <w:t xml:space="preserve"> norma</w:t>
      </w:r>
      <w:r w:rsidRPr="004925F8">
        <w:rPr>
          <w:rFonts w:ascii="Times New Roman" w:hAnsi="Times New Roman" w:cs="Times New Roman"/>
        </w:rPr>
        <w:t>s</w:t>
      </w:r>
      <w:r w:rsidR="0034550D" w:rsidRPr="004925F8">
        <w:rPr>
          <w:rFonts w:ascii="Times New Roman" w:hAnsi="Times New Roman" w:cs="Times New Roman"/>
        </w:rPr>
        <w:t xml:space="preserve"> tributaria</w:t>
      </w:r>
      <w:r w:rsidRPr="004925F8">
        <w:rPr>
          <w:rFonts w:ascii="Times New Roman" w:hAnsi="Times New Roman" w:cs="Times New Roman"/>
        </w:rPr>
        <w:t>s, de suerte que estos trabajadores quedaron sujetos</w:t>
      </w:r>
      <w:r w:rsidR="0034550D" w:rsidRPr="004925F8">
        <w:rPr>
          <w:rFonts w:ascii="Times New Roman" w:hAnsi="Times New Roman" w:cs="Times New Roman"/>
        </w:rPr>
        <w:t xml:space="preserve"> a las normas generales contempladas en la </w:t>
      </w:r>
      <w:r w:rsidRPr="004925F8">
        <w:rPr>
          <w:rFonts w:ascii="Times New Roman" w:hAnsi="Times New Roman" w:cs="Times New Roman"/>
        </w:rPr>
        <w:t>Ley sobre Impuesto a la Renta</w:t>
      </w:r>
      <w:r w:rsidR="00D52116" w:rsidRPr="004925F8">
        <w:rPr>
          <w:rFonts w:ascii="Times New Roman" w:hAnsi="Times New Roman" w:cs="Times New Roman"/>
        </w:rPr>
        <w:t>, según se tratara de trabajadores contratados bajo un vínculo d</w:t>
      </w:r>
      <w:r w:rsidRPr="004925F8">
        <w:rPr>
          <w:rFonts w:ascii="Times New Roman" w:hAnsi="Times New Roman" w:cs="Times New Roman"/>
        </w:rPr>
        <w:t xml:space="preserve">e subordinación o dependencia o, en cambio, de </w:t>
      </w:r>
      <w:r w:rsidR="00D52116" w:rsidRPr="004925F8">
        <w:rPr>
          <w:rFonts w:ascii="Times New Roman" w:hAnsi="Times New Roman" w:cs="Times New Roman"/>
        </w:rPr>
        <w:t>trabajadores independientes.</w:t>
      </w:r>
    </w:p>
    <w:p w:rsidR="00770D66" w:rsidRPr="004925F8" w:rsidRDefault="00770D66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lastRenderedPageBreak/>
        <w:t>A propósito de esa</w:t>
      </w:r>
      <w:r w:rsidR="007C770C" w:rsidRPr="004925F8">
        <w:rPr>
          <w:rFonts w:ascii="Times New Roman" w:hAnsi="Times New Roman" w:cs="Times New Roman"/>
        </w:rPr>
        <w:t xml:space="preserve"> modificación, </w:t>
      </w:r>
      <w:r w:rsidRPr="004925F8">
        <w:rPr>
          <w:rFonts w:ascii="Times New Roman" w:hAnsi="Times New Roman" w:cs="Times New Roman"/>
        </w:rPr>
        <w:t>mediante el O</w:t>
      </w:r>
      <w:r w:rsidR="005D7516" w:rsidRPr="004925F8">
        <w:rPr>
          <w:rFonts w:ascii="Times New Roman" w:hAnsi="Times New Roman" w:cs="Times New Roman"/>
        </w:rPr>
        <w:t xml:space="preserve">ficio N° 5.060 de 2004, </w:t>
      </w:r>
      <w:r w:rsidRPr="004925F8">
        <w:rPr>
          <w:rFonts w:ascii="Times New Roman" w:hAnsi="Times New Roman" w:cs="Times New Roman"/>
        </w:rPr>
        <w:t xml:space="preserve">y </w:t>
      </w:r>
      <w:r w:rsidR="005D7516" w:rsidRPr="004925F8">
        <w:rPr>
          <w:rFonts w:ascii="Times New Roman" w:hAnsi="Times New Roman" w:cs="Times New Roman"/>
        </w:rPr>
        <w:t xml:space="preserve">dando respuesta </w:t>
      </w:r>
      <w:r w:rsidR="007C770C" w:rsidRPr="004925F8">
        <w:rPr>
          <w:rFonts w:ascii="Times New Roman" w:hAnsi="Times New Roman" w:cs="Times New Roman"/>
        </w:rPr>
        <w:t>a</w:t>
      </w:r>
      <w:r w:rsidR="007B6397" w:rsidRPr="004925F8">
        <w:rPr>
          <w:rFonts w:ascii="Times New Roman" w:hAnsi="Times New Roman" w:cs="Times New Roman"/>
        </w:rPr>
        <w:t xml:space="preserve"> una consulta formulada por un sindicato, </w:t>
      </w:r>
      <w:r w:rsidRPr="004925F8">
        <w:rPr>
          <w:rFonts w:ascii="Times New Roman" w:hAnsi="Times New Roman" w:cs="Times New Roman"/>
        </w:rPr>
        <w:t xml:space="preserve">este Servicio </w:t>
      </w:r>
      <w:r w:rsidR="007B6397" w:rsidRPr="004925F8">
        <w:rPr>
          <w:rFonts w:ascii="Times New Roman" w:hAnsi="Times New Roman" w:cs="Times New Roman"/>
        </w:rPr>
        <w:t xml:space="preserve">informó </w:t>
      </w:r>
      <w:r w:rsidRPr="004925F8">
        <w:rPr>
          <w:rFonts w:ascii="Times New Roman" w:hAnsi="Times New Roman" w:cs="Times New Roman"/>
        </w:rPr>
        <w:t>que los</w:t>
      </w:r>
      <w:r w:rsidR="007B6397" w:rsidRPr="004925F8">
        <w:rPr>
          <w:rFonts w:ascii="Times New Roman" w:hAnsi="Times New Roman" w:cs="Times New Roman"/>
        </w:rPr>
        <w:t xml:space="preserve"> trabajadores dependientes con contrato de trabajo quedaban afectos a</w:t>
      </w:r>
      <w:r w:rsidR="002802A9" w:rsidRPr="004925F8">
        <w:rPr>
          <w:rFonts w:ascii="Times New Roman" w:hAnsi="Times New Roman" w:cs="Times New Roman"/>
        </w:rPr>
        <w:t>l pago de Impuesto de Segunda Categoría de acuerdo a</w:t>
      </w:r>
      <w:r w:rsidR="007B6397" w:rsidRPr="004925F8">
        <w:rPr>
          <w:rFonts w:ascii="Times New Roman" w:hAnsi="Times New Roman" w:cs="Times New Roman"/>
        </w:rPr>
        <w:t xml:space="preserve"> </w:t>
      </w:r>
      <w:r w:rsidR="002802A9" w:rsidRPr="004925F8">
        <w:rPr>
          <w:rFonts w:ascii="Times New Roman" w:hAnsi="Times New Roman" w:cs="Times New Roman"/>
        </w:rPr>
        <w:t>lo dispuesto en los artículo 42</w:t>
      </w:r>
      <w:r w:rsidR="00925B2D" w:rsidRPr="004925F8">
        <w:rPr>
          <w:rFonts w:ascii="Times New Roman" w:hAnsi="Times New Roman" w:cs="Times New Roman"/>
        </w:rPr>
        <w:t>,</w:t>
      </w:r>
      <w:r w:rsidR="007B6397" w:rsidRPr="004925F8">
        <w:rPr>
          <w:rFonts w:ascii="Times New Roman" w:hAnsi="Times New Roman" w:cs="Times New Roman"/>
        </w:rPr>
        <w:t xml:space="preserve"> N° 1</w:t>
      </w:r>
      <w:r w:rsidR="00925B2D" w:rsidRPr="004925F8">
        <w:rPr>
          <w:rFonts w:ascii="Times New Roman" w:hAnsi="Times New Roman" w:cs="Times New Roman"/>
        </w:rPr>
        <w:t>,</w:t>
      </w:r>
      <w:r w:rsidR="007B6397" w:rsidRPr="004925F8">
        <w:rPr>
          <w:rFonts w:ascii="Times New Roman" w:hAnsi="Times New Roman" w:cs="Times New Roman"/>
        </w:rPr>
        <w:t xml:space="preserve"> y 43</w:t>
      </w:r>
      <w:r w:rsidR="00925B2D" w:rsidRPr="004925F8">
        <w:rPr>
          <w:rFonts w:ascii="Times New Roman" w:hAnsi="Times New Roman" w:cs="Times New Roman"/>
        </w:rPr>
        <w:t>,</w:t>
      </w:r>
      <w:r w:rsidR="007B6397" w:rsidRPr="004925F8">
        <w:rPr>
          <w:rFonts w:ascii="Times New Roman" w:hAnsi="Times New Roman" w:cs="Times New Roman"/>
        </w:rPr>
        <w:t xml:space="preserve"> N° 1</w:t>
      </w:r>
      <w:r w:rsidR="00925B2D" w:rsidRPr="004925F8">
        <w:rPr>
          <w:rFonts w:ascii="Times New Roman" w:hAnsi="Times New Roman" w:cs="Times New Roman"/>
        </w:rPr>
        <w:t>,</w:t>
      </w:r>
      <w:r w:rsidR="007B6397" w:rsidRPr="004925F8">
        <w:rPr>
          <w:rFonts w:ascii="Times New Roman" w:hAnsi="Times New Roman" w:cs="Times New Roman"/>
        </w:rPr>
        <w:t xml:space="preserve"> de la </w:t>
      </w:r>
      <w:r w:rsidRPr="004925F8">
        <w:rPr>
          <w:rFonts w:ascii="Times New Roman" w:hAnsi="Times New Roman" w:cs="Times New Roman"/>
        </w:rPr>
        <w:t>Ley sobre Impuesto a la Renta</w:t>
      </w:r>
      <w:r w:rsidR="002802A9" w:rsidRPr="004925F8">
        <w:rPr>
          <w:rFonts w:ascii="Times New Roman" w:hAnsi="Times New Roman" w:cs="Times New Roman"/>
        </w:rPr>
        <w:t xml:space="preserve">, tributo que debía ser </w:t>
      </w:r>
      <w:r w:rsidR="000C0E02" w:rsidRPr="004925F8">
        <w:rPr>
          <w:rFonts w:ascii="Times New Roman" w:hAnsi="Times New Roman" w:cs="Times New Roman"/>
        </w:rPr>
        <w:t>determinado,</w:t>
      </w:r>
      <w:r w:rsidR="002802A9" w:rsidRPr="004925F8">
        <w:rPr>
          <w:rFonts w:ascii="Times New Roman" w:hAnsi="Times New Roman" w:cs="Times New Roman"/>
        </w:rPr>
        <w:t xml:space="preserve"> retenido</w:t>
      </w:r>
      <w:r w:rsidR="000C0E02" w:rsidRPr="004925F8">
        <w:rPr>
          <w:rFonts w:ascii="Times New Roman" w:hAnsi="Times New Roman" w:cs="Times New Roman"/>
        </w:rPr>
        <w:t xml:space="preserve">, </w:t>
      </w:r>
      <w:r w:rsidR="002802A9" w:rsidRPr="004925F8">
        <w:rPr>
          <w:rFonts w:ascii="Times New Roman" w:hAnsi="Times New Roman" w:cs="Times New Roman"/>
        </w:rPr>
        <w:t>declarado</w:t>
      </w:r>
      <w:r w:rsidR="000C0E02" w:rsidRPr="004925F8">
        <w:rPr>
          <w:rFonts w:ascii="Times New Roman" w:hAnsi="Times New Roman" w:cs="Times New Roman"/>
        </w:rPr>
        <w:t xml:space="preserve"> y pagado al Fisco por el respectivo empleador o empresa que contratara a los trabajadores. </w:t>
      </w:r>
    </w:p>
    <w:p w:rsidR="00672098" w:rsidRPr="004925F8" w:rsidRDefault="000C0E02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 xml:space="preserve">En el caso de trabajadores independientes, conforme lo dispuesto en los artículos </w:t>
      </w:r>
      <w:r w:rsidR="00925B2D" w:rsidRPr="004925F8">
        <w:rPr>
          <w:rFonts w:ascii="Times New Roman" w:hAnsi="Times New Roman" w:cs="Times New Roman"/>
        </w:rPr>
        <w:t xml:space="preserve">42, N° 2, </w:t>
      </w:r>
      <w:r w:rsidRPr="004925F8">
        <w:rPr>
          <w:rFonts w:ascii="Times New Roman" w:hAnsi="Times New Roman" w:cs="Times New Roman"/>
        </w:rPr>
        <w:t>y 43</w:t>
      </w:r>
      <w:r w:rsidR="00925B2D" w:rsidRPr="004925F8">
        <w:rPr>
          <w:rFonts w:ascii="Times New Roman" w:hAnsi="Times New Roman" w:cs="Times New Roman"/>
        </w:rPr>
        <w:t>,</w:t>
      </w:r>
      <w:r w:rsidRPr="004925F8">
        <w:rPr>
          <w:rFonts w:ascii="Times New Roman" w:hAnsi="Times New Roman" w:cs="Times New Roman"/>
        </w:rPr>
        <w:t xml:space="preserve"> N° 2</w:t>
      </w:r>
      <w:r w:rsidR="00925B2D" w:rsidRPr="004925F8">
        <w:rPr>
          <w:rFonts w:ascii="Times New Roman" w:hAnsi="Times New Roman" w:cs="Times New Roman"/>
        </w:rPr>
        <w:t>,</w:t>
      </w:r>
      <w:r w:rsidRPr="004925F8">
        <w:rPr>
          <w:rFonts w:ascii="Times New Roman" w:hAnsi="Times New Roman" w:cs="Times New Roman"/>
        </w:rPr>
        <w:t xml:space="preserve"> de la citada ley</w:t>
      </w:r>
      <w:r w:rsidR="007556E1" w:rsidRPr="004925F8">
        <w:rPr>
          <w:rFonts w:ascii="Times New Roman" w:hAnsi="Times New Roman" w:cs="Times New Roman"/>
        </w:rPr>
        <w:t>, quedaban afectos al Impuesto Global Complementario, sobre las rentas que percibieran de las empresas que los contrataran</w:t>
      </w:r>
      <w:r w:rsidR="00A56571" w:rsidRPr="004925F8">
        <w:rPr>
          <w:rFonts w:ascii="Times New Roman" w:hAnsi="Times New Roman" w:cs="Times New Roman"/>
        </w:rPr>
        <w:t>,</w:t>
      </w:r>
      <w:r w:rsidR="001D1457" w:rsidRPr="004925F8">
        <w:rPr>
          <w:rFonts w:ascii="Times New Roman" w:hAnsi="Times New Roman" w:cs="Times New Roman"/>
        </w:rPr>
        <w:t xml:space="preserve"> </w:t>
      </w:r>
      <w:r w:rsidR="00A56571" w:rsidRPr="004925F8">
        <w:rPr>
          <w:rFonts w:ascii="Times New Roman" w:hAnsi="Times New Roman" w:cs="Times New Roman"/>
        </w:rPr>
        <w:t>tributo que debía ser declarado anualmente por el propio trabajador independiente.</w:t>
      </w:r>
      <w:r w:rsidR="00770D66" w:rsidRPr="004925F8">
        <w:rPr>
          <w:rFonts w:ascii="Times New Roman" w:hAnsi="Times New Roman" w:cs="Times New Roman"/>
        </w:rPr>
        <w:t xml:space="preserve"> Asimismo, se hizo presente que e</w:t>
      </w:r>
      <w:r w:rsidR="001042B1" w:rsidRPr="004925F8">
        <w:rPr>
          <w:rFonts w:ascii="Times New Roman" w:hAnsi="Times New Roman" w:cs="Times New Roman"/>
        </w:rPr>
        <w:t xml:space="preserve">stos </w:t>
      </w:r>
      <w:r w:rsidR="00770D66" w:rsidRPr="004925F8">
        <w:rPr>
          <w:rFonts w:ascii="Times New Roman" w:hAnsi="Times New Roman" w:cs="Times New Roman"/>
        </w:rPr>
        <w:t xml:space="preserve">trabajadores </w:t>
      </w:r>
      <w:r w:rsidR="001042B1" w:rsidRPr="004925F8">
        <w:rPr>
          <w:rFonts w:ascii="Times New Roman" w:hAnsi="Times New Roman" w:cs="Times New Roman"/>
        </w:rPr>
        <w:t xml:space="preserve">se encontraban afectos a una retención de 10% sobre los ingresos pagados, conforme a lo dispuesto en el artículo </w:t>
      </w:r>
      <w:r w:rsidR="00925B2D" w:rsidRPr="004925F8">
        <w:rPr>
          <w:rFonts w:ascii="Times New Roman" w:hAnsi="Times New Roman" w:cs="Times New Roman"/>
        </w:rPr>
        <w:t xml:space="preserve">74, N° 2, </w:t>
      </w:r>
      <w:r w:rsidR="001042B1" w:rsidRPr="004925F8">
        <w:rPr>
          <w:rFonts w:ascii="Times New Roman" w:hAnsi="Times New Roman" w:cs="Times New Roman"/>
        </w:rPr>
        <w:t xml:space="preserve">de la </w:t>
      </w:r>
      <w:r w:rsidR="00770D66" w:rsidRPr="004925F8">
        <w:rPr>
          <w:rFonts w:ascii="Times New Roman" w:hAnsi="Times New Roman" w:cs="Times New Roman"/>
        </w:rPr>
        <w:t>Ley sobre Impuesto a la Renta</w:t>
      </w:r>
      <w:r w:rsidR="001F3CC4" w:rsidRPr="004925F8">
        <w:rPr>
          <w:rFonts w:ascii="Times New Roman" w:hAnsi="Times New Roman" w:cs="Times New Roman"/>
        </w:rPr>
        <w:t>, en los casos en que el pagador de la renta fuera una institución fiscal, semifiscal de administración autónoma, una municipalidad, pers</w:t>
      </w:r>
      <w:r w:rsidR="002718FC" w:rsidRPr="004925F8">
        <w:rPr>
          <w:rFonts w:ascii="Times New Roman" w:hAnsi="Times New Roman" w:cs="Times New Roman"/>
        </w:rPr>
        <w:t>onas jurídicas en general, y</w:t>
      </w:r>
      <w:r w:rsidR="001F3CC4" w:rsidRPr="004925F8">
        <w:rPr>
          <w:rFonts w:ascii="Times New Roman" w:hAnsi="Times New Roman" w:cs="Times New Roman"/>
        </w:rPr>
        <w:t xml:space="preserve"> persona</w:t>
      </w:r>
      <w:r w:rsidR="002611D1" w:rsidRPr="004925F8">
        <w:rPr>
          <w:rFonts w:ascii="Times New Roman" w:hAnsi="Times New Roman" w:cs="Times New Roman"/>
        </w:rPr>
        <w:t>s</w:t>
      </w:r>
      <w:r w:rsidR="001F3CC4" w:rsidRPr="004925F8">
        <w:rPr>
          <w:rFonts w:ascii="Times New Roman" w:hAnsi="Times New Roman" w:cs="Times New Roman"/>
        </w:rPr>
        <w:t xml:space="preserve"> que obtuvieran rentas de la</w:t>
      </w:r>
      <w:r w:rsidR="002611D1" w:rsidRPr="004925F8">
        <w:rPr>
          <w:rFonts w:ascii="Times New Roman" w:hAnsi="Times New Roman" w:cs="Times New Roman"/>
        </w:rPr>
        <w:t xml:space="preserve"> Primera Categoría, obligadas según la ley a llevar contabilidad.</w:t>
      </w:r>
    </w:p>
    <w:p w:rsidR="00C25162" w:rsidRPr="004925F8" w:rsidRDefault="00770D66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>Con posterioridad, la L</w:t>
      </w:r>
      <w:r w:rsidR="00C25162" w:rsidRPr="004925F8">
        <w:rPr>
          <w:rFonts w:ascii="Times New Roman" w:hAnsi="Times New Roman" w:cs="Times New Roman"/>
        </w:rPr>
        <w:t>ey N° 20.219</w:t>
      </w:r>
      <w:r w:rsidR="007E6187" w:rsidRPr="004925F8">
        <w:rPr>
          <w:rFonts w:ascii="Times New Roman" w:hAnsi="Times New Roman" w:cs="Times New Roman"/>
        </w:rPr>
        <w:t xml:space="preserve"> </w:t>
      </w:r>
      <w:r w:rsidR="009E141A" w:rsidRPr="004925F8">
        <w:rPr>
          <w:rFonts w:ascii="Times New Roman" w:hAnsi="Times New Roman" w:cs="Times New Roman"/>
        </w:rPr>
        <w:t xml:space="preserve">incorporó en el Capítulo IV </w:t>
      </w:r>
      <w:r w:rsidR="00E73F95" w:rsidRPr="004925F8">
        <w:rPr>
          <w:rFonts w:ascii="Times New Roman" w:hAnsi="Times New Roman" w:cs="Times New Roman"/>
        </w:rPr>
        <w:t xml:space="preserve">del Código del Trabajo </w:t>
      </w:r>
      <w:r w:rsidR="009E141A" w:rsidRPr="004925F8">
        <w:rPr>
          <w:rFonts w:ascii="Times New Roman" w:hAnsi="Times New Roman" w:cs="Times New Roman"/>
        </w:rPr>
        <w:t xml:space="preserve">el </w:t>
      </w:r>
      <w:r w:rsidR="00C25162" w:rsidRPr="004925F8">
        <w:rPr>
          <w:rFonts w:ascii="Times New Roman" w:hAnsi="Times New Roman" w:cs="Times New Roman"/>
        </w:rPr>
        <w:t>artículo 145-L</w:t>
      </w:r>
      <w:r w:rsidR="009E141A" w:rsidRPr="004925F8">
        <w:rPr>
          <w:rFonts w:ascii="Times New Roman" w:hAnsi="Times New Roman" w:cs="Times New Roman"/>
        </w:rPr>
        <w:t xml:space="preserve">, </w:t>
      </w:r>
      <w:r w:rsidR="00BE487B" w:rsidRPr="004925F8">
        <w:rPr>
          <w:rFonts w:ascii="Times New Roman" w:hAnsi="Times New Roman" w:cs="Times New Roman"/>
        </w:rPr>
        <w:t>abordado por</w:t>
      </w:r>
      <w:r w:rsidR="00C25162" w:rsidRPr="004925F8">
        <w:rPr>
          <w:rFonts w:ascii="Times New Roman" w:hAnsi="Times New Roman" w:cs="Times New Roman"/>
        </w:rPr>
        <w:t xml:space="preserve"> este </w:t>
      </w:r>
      <w:r w:rsidR="009E141A" w:rsidRPr="004925F8">
        <w:rPr>
          <w:rFonts w:ascii="Times New Roman" w:hAnsi="Times New Roman" w:cs="Times New Roman"/>
        </w:rPr>
        <w:t xml:space="preserve">Servicio </w:t>
      </w:r>
      <w:r w:rsidR="00BE487B" w:rsidRPr="004925F8">
        <w:rPr>
          <w:rFonts w:ascii="Times New Roman" w:hAnsi="Times New Roman" w:cs="Times New Roman"/>
        </w:rPr>
        <w:t>en</w:t>
      </w:r>
      <w:r w:rsidR="009E141A" w:rsidRPr="004925F8">
        <w:rPr>
          <w:rFonts w:ascii="Times New Roman" w:hAnsi="Times New Roman" w:cs="Times New Roman"/>
        </w:rPr>
        <w:t xml:space="preserve"> la Circular N° 60 de 2007</w:t>
      </w:r>
      <w:r w:rsidR="005A5210" w:rsidRPr="004925F8">
        <w:rPr>
          <w:rFonts w:ascii="Times New Roman" w:hAnsi="Times New Roman" w:cs="Times New Roman"/>
        </w:rPr>
        <w:t>,</w:t>
      </w:r>
      <w:r w:rsidR="009E141A" w:rsidRPr="004925F8">
        <w:rPr>
          <w:rFonts w:ascii="Times New Roman" w:hAnsi="Times New Roman" w:cs="Times New Roman"/>
        </w:rPr>
        <w:t xml:space="preserve"> </w:t>
      </w:r>
      <w:r w:rsidR="005A5210" w:rsidRPr="004925F8">
        <w:rPr>
          <w:rFonts w:ascii="Times New Roman" w:hAnsi="Times New Roman" w:cs="Times New Roman"/>
        </w:rPr>
        <w:t xml:space="preserve">sobre el </w:t>
      </w:r>
      <w:r w:rsidR="005A5210" w:rsidRPr="004925F8">
        <w:rPr>
          <w:rFonts w:ascii="Times New Roman" w:hAnsi="Times New Roman" w:cs="Times New Roman"/>
          <w:bCs/>
          <w:color w:val="000000"/>
        </w:rPr>
        <w:t>tratamiento tributario de las remuneraciones percibidas por los trabajadores de artes y espectáculos,</w:t>
      </w:r>
      <w:r w:rsidR="005A5210" w:rsidRPr="004925F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141A" w:rsidRPr="004925F8">
        <w:rPr>
          <w:rFonts w:ascii="Times New Roman" w:hAnsi="Times New Roman" w:cs="Times New Roman"/>
        </w:rPr>
        <w:t xml:space="preserve">y </w:t>
      </w:r>
      <w:r w:rsidR="00BE487B" w:rsidRPr="004925F8">
        <w:rPr>
          <w:rFonts w:ascii="Times New Roman" w:hAnsi="Times New Roman" w:cs="Times New Roman"/>
        </w:rPr>
        <w:t xml:space="preserve">en </w:t>
      </w:r>
      <w:r w:rsidR="005A5210" w:rsidRPr="004925F8">
        <w:rPr>
          <w:rFonts w:ascii="Times New Roman" w:hAnsi="Times New Roman" w:cs="Times New Roman"/>
        </w:rPr>
        <w:t xml:space="preserve">el </w:t>
      </w:r>
      <w:r w:rsidR="009E141A" w:rsidRPr="004925F8">
        <w:rPr>
          <w:rFonts w:ascii="Times New Roman" w:hAnsi="Times New Roman" w:cs="Times New Roman"/>
        </w:rPr>
        <w:t xml:space="preserve">Oficio N° </w:t>
      </w:r>
      <w:r w:rsidR="00E73F95" w:rsidRPr="004925F8">
        <w:rPr>
          <w:rFonts w:ascii="Times New Roman" w:hAnsi="Times New Roman" w:cs="Times New Roman"/>
        </w:rPr>
        <w:t xml:space="preserve">288 de 2008, </w:t>
      </w:r>
      <w:r w:rsidR="00C25162" w:rsidRPr="004925F8">
        <w:rPr>
          <w:rFonts w:ascii="Times New Roman" w:hAnsi="Times New Roman" w:cs="Times New Roman"/>
        </w:rPr>
        <w:t>ambos</w:t>
      </w:r>
      <w:r w:rsidR="00E73F95" w:rsidRPr="004925F8">
        <w:rPr>
          <w:rFonts w:ascii="Times New Roman" w:hAnsi="Times New Roman" w:cs="Times New Roman"/>
        </w:rPr>
        <w:t xml:space="preserve"> de conocimiento de esa Subsecretaría. </w:t>
      </w:r>
    </w:p>
    <w:p w:rsidR="00156B32" w:rsidRPr="004925F8" w:rsidRDefault="00C25162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 xml:space="preserve">En lo fundamental, el artículo 145-L citado, dispone que </w:t>
      </w:r>
      <w:r w:rsidR="00E936EC" w:rsidRPr="004925F8">
        <w:rPr>
          <w:rFonts w:ascii="Times New Roman" w:hAnsi="Times New Roman" w:cs="Times New Roman"/>
        </w:rPr>
        <w:t xml:space="preserve">las remuneraciones percibidas por </w:t>
      </w:r>
      <w:r w:rsidR="00E73F95" w:rsidRPr="004925F8">
        <w:rPr>
          <w:rFonts w:ascii="Times New Roman" w:hAnsi="Times New Roman" w:cs="Times New Roman"/>
        </w:rPr>
        <w:t xml:space="preserve">los trabajadores de artes y espectáculos </w:t>
      </w:r>
      <w:r w:rsidR="00E936EC" w:rsidRPr="004925F8">
        <w:rPr>
          <w:rFonts w:ascii="Times New Roman" w:hAnsi="Times New Roman" w:cs="Times New Roman"/>
        </w:rPr>
        <w:t xml:space="preserve">con motivo de la celebración de los contratos </w:t>
      </w:r>
      <w:r w:rsidR="006B7BC5" w:rsidRPr="004925F8">
        <w:rPr>
          <w:rFonts w:ascii="Times New Roman" w:hAnsi="Times New Roman" w:cs="Times New Roman"/>
        </w:rPr>
        <w:t>laborales que regula el</w:t>
      </w:r>
      <w:r w:rsidR="00156B32" w:rsidRPr="004925F8">
        <w:rPr>
          <w:rFonts w:ascii="Times New Roman" w:hAnsi="Times New Roman" w:cs="Times New Roman"/>
        </w:rPr>
        <w:t xml:space="preserve"> Capítulo IV, quedan</w:t>
      </w:r>
      <w:r w:rsidR="006B7BC5" w:rsidRPr="004925F8">
        <w:rPr>
          <w:rFonts w:ascii="Times New Roman" w:hAnsi="Times New Roman" w:cs="Times New Roman"/>
        </w:rPr>
        <w:t xml:space="preserve"> sujetas a la tributación aplicable a las rentas señaladas en el artículo </w:t>
      </w:r>
      <w:r w:rsidR="00925B2D" w:rsidRPr="004925F8">
        <w:rPr>
          <w:rFonts w:ascii="Times New Roman" w:hAnsi="Times New Roman" w:cs="Times New Roman"/>
        </w:rPr>
        <w:t xml:space="preserve">42, N° 2, </w:t>
      </w:r>
      <w:r w:rsidR="006B7BC5" w:rsidRPr="004925F8">
        <w:rPr>
          <w:rFonts w:ascii="Times New Roman" w:hAnsi="Times New Roman" w:cs="Times New Roman"/>
        </w:rPr>
        <w:t xml:space="preserve">de la </w:t>
      </w:r>
      <w:r w:rsidR="00770D66" w:rsidRPr="004925F8">
        <w:rPr>
          <w:rFonts w:ascii="Times New Roman" w:hAnsi="Times New Roman" w:cs="Times New Roman"/>
        </w:rPr>
        <w:t>Ley sobre Impuesto a la Renta</w:t>
      </w:r>
      <w:r w:rsidRPr="004925F8">
        <w:rPr>
          <w:rFonts w:ascii="Times New Roman" w:hAnsi="Times New Roman" w:cs="Times New Roman"/>
        </w:rPr>
        <w:t xml:space="preserve">; </w:t>
      </w:r>
      <w:r w:rsidR="00A67D4B" w:rsidRPr="004925F8">
        <w:rPr>
          <w:rFonts w:ascii="Times New Roman" w:hAnsi="Times New Roman" w:cs="Times New Roman"/>
        </w:rPr>
        <w:t xml:space="preserve">es decir, </w:t>
      </w:r>
      <w:r w:rsidR="000670C8" w:rsidRPr="004925F8">
        <w:rPr>
          <w:rFonts w:ascii="Times New Roman" w:hAnsi="Times New Roman" w:cs="Times New Roman"/>
        </w:rPr>
        <w:t>lo</w:t>
      </w:r>
      <w:r w:rsidR="00A67D4B" w:rsidRPr="004925F8">
        <w:rPr>
          <w:rFonts w:ascii="Times New Roman" w:hAnsi="Times New Roman" w:cs="Times New Roman"/>
        </w:rPr>
        <w:t>s sustrae de la aplicación del Impuesto Único de Segunda Categoría, en los casos en que tienen un contrato de trabajo con vínculos de subordinación y dependencia</w:t>
      </w:r>
      <w:r w:rsidR="00156B32" w:rsidRPr="004925F8">
        <w:rPr>
          <w:rFonts w:ascii="Times New Roman" w:hAnsi="Times New Roman" w:cs="Times New Roman"/>
        </w:rPr>
        <w:t xml:space="preserve">, </w:t>
      </w:r>
      <w:r w:rsidR="00E6433F" w:rsidRPr="004925F8">
        <w:rPr>
          <w:rFonts w:ascii="Times New Roman" w:hAnsi="Times New Roman" w:cs="Times New Roman"/>
        </w:rPr>
        <w:t>y los deja s</w:t>
      </w:r>
      <w:r w:rsidR="00B056C0" w:rsidRPr="004925F8">
        <w:rPr>
          <w:rFonts w:ascii="Times New Roman" w:hAnsi="Times New Roman" w:cs="Times New Roman"/>
        </w:rPr>
        <w:t>ujetos para efectos tributarios</w:t>
      </w:r>
      <w:r w:rsidR="00E6433F" w:rsidRPr="004925F8">
        <w:rPr>
          <w:rFonts w:ascii="Times New Roman" w:hAnsi="Times New Roman" w:cs="Times New Roman"/>
        </w:rPr>
        <w:t xml:space="preserve"> al régimen que afecta a las rentas que perciben </w:t>
      </w:r>
      <w:r w:rsidR="00FA00A2" w:rsidRPr="004925F8">
        <w:rPr>
          <w:rFonts w:ascii="Times New Roman" w:hAnsi="Times New Roman" w:cs="Times New Roman"/>
        </w:rPr>
        <w:t xml:space="preserve">los trabajadores independientes, gravados con </w:t>
      </w:r>
      <w:r w:rsidR="00156B32" w:rsidRPr="004925F8">
        <w:rPr>
          <w:rFonts w:ascii="Times New Roman" w:hAnsi="Times New Roman" w:cs="Times New Roman"/>
        </w:rPr>
        <w:t>los impuestos Global Complementario o Adicional</w:t>
      </w:r>
      <w:r w:rsidR="00FA00A2" w:rsidRPr="004925F8">
        <w:rPr>
          <w:rFonts w:ascii="Times New Roman" w:hAnsi="Times New Roman" w:cs="Times New Roman"/>
        </w:rPr>
        <w:t>,</w:t>
      </w:r>
      <w:r w:rsidR="00156B32" w:rsidRPr="004925F8">
        <w:rPr>
          <w:rFonts w:ascii="Times New Roman" w:hAnsi="Times New Roman" w:cs="Times New Roman"/>
        </w:rPr>
        <w:t xml:space="preserve"> según </w:t>
      </w:r>
      <w:r w:rsidR="00FA00A2" w:rsidRPr="004925F8">
        <w:rPr>
          <w:rFonts w:ascii="Times New Roman" w:hAnsi="Times New Roman" w:cs="Times New Roman"/>
        </w:rPr>
        <w:t>sea el domicilio o residencia en el país o en el exterior del beneficiario de la renta.</w:t>
      </w:r>
    </w:p>
    <w:p w:rsidR="001440ED" w:rsidRPr="004925F8" w:rsidRDefault="001440ED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>T</w:t>
      </w:r>
      <w:r w:rsidR="00B056C0" w:rsidRPr="004925F8">
        <w:rPr>
          <w:rFonts w:ascii="Times New Roman" w:hAnsi="Times New Roman" w:cs="Times New Roman"/>
        </w:rPr>
        <w:t xml:space="preserve">ributar </w:t>
      </w:r>
      <w:r w:rsidR="00C25162" w:rsidRPr="004925F8">
        <w:rPr>
          <w:rFonts w:ascii="Times New Roman" w:hAnsi="Times New Roman" w:cs="Times New Roman"/>
        </w:rPr>
        <w:t xml:space="preserve">en régimen de Impuesto Único de Segunda Categoría o Impuesto Global Complementario </w:t>
      </w:r>
      <w:r w:rsidR="00B056C0" w:rsidRPr="004925F8">
        <w:rPr>
          <w:rFonts w:ascii="Times New Roman" w:hAnsi="Times New Roman" w:cs="Times New Roman"/>
        </w:rPr>
        <w:t xml:space="preserve">no presenta </w:t>
      </w:r>
      <w:r w:rsidR="00C25162" w:rsidRPr="004925F8">
        <w:rPr>
          <w:rFonts w:ascii="Times New Roman" w:hAnsi="Times New Roman" w:cs="Times New Roman"/>
        </w:rPr>
        <w:t xml:space="preserve">mayores </w:t>
      </w:r>
      <w:r w:rsidR="00B056C0" w:rsidRPr="004925F8">
        <w:rPr>
          <w:rFonts w:ascii="Times New Roman" w:hAnsi="Times New Roman" w:cs="Times New Roman"/>
        </w:rPr>
        <w:t xml:space="preserve">diferencias desde el punto de vista de los tramos de renta y tasas </w:t>
      </w:r>
      <w:r w:rsidR="005C7D2F" w:rsidRPr="004925F8">
        <w:rPr>
          <w:rFonts w:ascii="Times New Roman" w:hAnsi="Times New Roman" w:cs="Times New Roman"/>
        </w:rPr>
        <w:t xml:space="preserve">marginales </w:t>
      </w:r>
      <w:r w:rsidR="00BE487B" w:rsidRPr="004925F8">
        <w:rPr>
          <w:rFonts w:ascii="Times New Roman" w:hAnsi="Times New Roman" w:cs="Times New Roman"/>
        </w:rPr>
        <w:t>aplicables,</w:t>
      </w:r>
      <w:r w:rsidR="00B056C0" w:rsidRPr="004925F8">
        <w:rPr>
          <w:rFonts w:ascii="Times New Roman" w:hAnsi="Times New Roman" w:cs="Times New Roman"/>
        </w:rPr>
        <w:t xml:space="preserve"> </w:t>
      </w:r>
      <w:r w:rsidRPr="004925F8">
        <w:rPr>
          <w:rFonts w:ascii="Times New Roman" w:hAnsi="Times New Roman" w:cs="Times New Roman"/>
        </w:rPr>
        <w:t>por</w:t>
      </w:r>
      <w:r w:rsidR="00B056C0" w:rsidRPr="004925F8">
        <w:rPr>
          <w:rFonts w:ascii="Times New Roman" w:hAnsi="Times New Roman" w:cs="Times New Roman"/>
        </w:rPr>
        <w:t>que son las</w:t>
      </w:r>
      <w:r w:rsidR="009829E6" w:rsidRPr="004925F8">
        <w:rPr>
          <w:rFonts w:ascii="Times New Roman" w:hAnsi="Times New Roman" w:cs="Times New Roman"/>
        </w:rPr>
        <w:t xml:space="preserve"> mismas</w:t>
      </w:r>
      <w:r w:rsidR="00C25162" w:rsidRPr="004925F8">
        <w:rPr>
          <w:rFonts w:ascii="Times New Roman" w:hAnsi="Times New Roman" w:cs="Times New Roman"/>
        </w:rPr>
        <w:t xml:space="preserve">, diferenciándose </w:t>
      </w:r>
      <w:r w:rsidR="009829E6" w:rsidRPr="004925F8">
        <w:rPr>
          <w:rFonts w:ascii="Times New Roman" w:hAnsi="Times New Roman" w:cs="Times New Roman"/>
        </w:rPr>
        <w:t xml:space="preserve">en </w:t>
      </w:r>
      <w:r w:rsidR="00C25162" w:rsidRPr="004925F8">
        <w:rPr>
          <w:rFonts w:ascii="Times New Roman" w:hAnsi="Times New Roman" w:cs="Times New Roman"/>
        </w:rPr>
        <w:t xml:space="preserve">que el </w:t>
      </w:r>
      <w:r w:rsidR="009829E6" w:rsidRPr="004925F8">
        <w:rPr>
          <w:rFonts w:ascii="Times New Roman" w:hAnsi="Times New Roman" w:cs="Times New Roman"/>
        </w:rPr>
        <w:t>Impuesto Único de Segunda Categoría</w:t>
      </w:r>
      <w:r w:rsidR="00E773CA" w:rsidRPr="004925F8">
        <w:rPr>
          <w:rFonts w:ascii="Times New Roman" w:hAnsi="Times New Roman" w:cs="Times New Roman"/>
        </w:rPr>
        <w:t xml:space="preserve">, por ser un tributo </w:t>
      </w:r>
      <w:r w:rsidR="00C25162" w:rsidRPr="004925F8">
        <w:rPr>
          <w:rFonts w:ascii="Times New Roman" w:hAnsi="Times New Roman" w:cs="Times New Roman"/>
        </w:rPr>
        <w:t>de</w:t>
      </w:r>
      <w:r w:rsidR="00E773CA" w:rsidRPr="004925F8">
        <w:rPr>
          <w:rFonts w:ascii="Times New Roman" w:hAnsi="Times New Roman" w:cs="Times New Roman"/>
        </w:rPr>
        <w:t xml:space="preserve"> determi</w:t>
      </w:r>
      <w:r w:rsidR="009723AF" w:rsidRPr="004925F8">
        <w:rPr>
          <w:rFonts w:ascii="Times New Roman" w:hAnsi="Times New Roman" w:cs="Times New Roman"/>
        </w:rPr>
        <w:t>n</w:t>
      </w:r>
      <w:r w:rsidR="00E773CA" w:rsidRPr="004925F8">
        <w:rPr>
          <w:rFonts w:ascii="Times New Roman" w:hAnsi="Times New Roman" w:cs="Times New Roman"/>
        </w:rPr>
        <w:t>a</w:t>
      </w:r>
      <w:r w:rsidR="00C25162" w:rsidRPr="004925F8">
        <w:rPr>
          <w:rFonts w:ascii="Times New Roman" w:hAnsi="Times New Roman" w:cs="Times New Roman"/>
        </w:rPr>
        <w:t>ción</w:t>
      </w:r>
      <w:r w:rsidR="00E773CA" w:rsidRPr="004925F8">
        <w:rPr>
          <w:rFonts w:ascii="Times New Roman" w:hAnsi="Times New Roman" w:cs="Times New Roman"/>
        </w:rPr>
        <w:t xml:space="preserve"> y </w:t>
      </w:r>
      <w:r w:rsidR="00C25162" w:rsidRPr="004925F8">
        <w:rPr>
          <w:rFonts w:ascii="Times New Roman" w:hAnsi="Times New Roman" w:cs="Times New Roman"/>
        </w:rPr>
        <w:t>retención</w:t>
      </w:r>
      <w:r w:rsidR="00E773CA" w:rsidRPr="004925F8">
        <w:rPr>
          <w:rFonts w:ascii="Times New Roman" w:hAnsi="Times New Roman" w:cs="Times New Roman"/>
        </w:rPr>
        <w:t xml:space="preserve"> mensual, </w:t>
      </w:r>
      <w:r w:rsidR="00C25162" w:rsidRPr="004925F8">
        <w:rPr>
          <w:rFonts w:ascii="Times New Roman" w:hAnsi="Times New Roman" w:cs="Times New Roman"/>
        </w:rPr>
        <w:t xml:space="preserve">considera </w:t>
      </w:r>
      <w:r w:rsidR="00E773CA" w:rsidRPr="004925F8">
        <w:rPr>
          <w:rFonts w:ascii="Times New Roman" w:hAnsi="Times New Roman" w:cs="Times New Roman"/>
        </w:rPr>
        <w:t>tramos de renta expresados en unidades tributarias mensuales</w:t>
      </w:r>
      <w:r w:rsidR="00C25162" w:rsidRPr="004925F8">
        <w:rPr>
          <w:rFonts w:ascii="Times New Roman" w:hAnsi="Times New Roman" w:cs="Times New Roman"/>
        </w:rPr>
        <w:t xml:space="preserve">; en cambio, </w:t>
      </w:r>
      <w:r w:rsidR="00E773CA" w:rsidRPr="004925F8">
        <w:rPr>
          <w:rFonts w:ascii="Times New Roman" w:hAnsi="Times New Roman" w:cs="Times New Roman"/>
        </w:rPr>
        <w:t xml:space="preserve">el </w:t>
      </w:r>
      <w:r w:rsidR="009723AF" w:rsidRPr="004925F8">
        <w:rPr>
          <w:rFonts w:ascii="Times New Roman" w:hAnsi="Times New Roman" w:cs="Times New Roman"/>
        </w:rPr>
        <w:t xml:space="preserve">Impuesto </w:t>
      </w:r>
      <w:r w:rsidR="00E773CA" w:rsidRPr="004925F8">
        <w:rPr>
          <w:rFonts w:ascii="Times New Roman" w:hAnsi="Times New Roman" w:cs="Times New Roman"/>
        </w:rPr>
        <w:t xml:space="preserve">Global </w:t>
      </w:r>
      <w:r w:rsidR="009723AF" w:rsidRPr="004925F8">
        <w:rPr>
          <w:rFonts w:ascii="Times New Roman" w:hAnsi="Times New Roman" w:cs="Times New Roman"/>
        </w:rPr>
        <w:t>Comentario</w:t>
      </w:r>
      <w:r w:rsidR="00C25162" w:rsidRPr="004925F8">
        <w:rPr>
          <w:rFonts w:ascii="Times New Roman" w:hAnsi="Times New Roman" w:cs="Times New Roman"/>
        </w:rPr>
        <w:t xml:space="preserve">, </w:t>
      </w:r>
      <w:r w:rsidR="009723AF" w:rsidRPr="004925F8">
        <w:rPr>
          <w:rFonts w:ascii="Times New Roman" w:hAnsi="Times New Roman" w:cs="Times New Roman"/>
        </w:rPr>
        <w:t>por tratarse de un impuesto que se determina y paga anualmente</w:t>
      </w:r>
      <w:r w:rsidR="00BE487B" w:rsidRPr="004925F8">
        <w:rPr>
          <w:rFonts w:ascii="Times New Roman" w:hAnsi="Times New Roman" w:cs="Times New Roman"/>
        </w:rPr>
        <w:t>, emplea unidades tributarias anuales</w:t>
      </w:r>
      <w:r w:rsidR="009723AF" w:rsidRPr="004925F8">
        <w:rPr>
          <w:rFonts w:ascii="Times New Roman" w:hAnsi="Times New Roman" w:cs="Times New Roman"/>
        </w:rPr>
        <w:t xml:space="preserve">. </w:t>
      </w:r>
    </w:p>
    <w:p w:rsidR="009723AF" w:rsidRPr="004925F8" w:rsidRDefault="009723AF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 xml:space="preserve">La diferencia </w:t>
      </w:r>
      <w:r w:rsidR="00086D25" w:rsidRPr="004925F8">
        <w:rPr>
          <w:rFonts w:ascii="Times New Roman" w:hAnsi="Times New Roman" w:cs="Times New Roman"/>
        </w:rPr>
        <w:t xml:space="preserve">básica </w:t>
      </w:r>
      <w:r w:rsidRPr="004925F8">
        <w:rPr>
          <w:rFonts w:ascii="Times New Roman" w:hAnsi="Times New Roman" w:cs="Times New Roman"/>
        </w:rPr>
        <w:t xml:space="preserve">que existe, y que explica el régimen tributario dispuesto por el </w:t>
      </w:r>
      <w:r w:rsidR="00C25162" w:rsidRPr="004925F8">
        <w:rPr>
          <w:rFonts w:ascii="Times New Roman" w:hAnsi="Times New Roman" w:cs="Times New Roman"/>
        </w:rPr>
        <w:t>artículo</w:t>
      </w:r>
      <w:r w:rsidRPr="004925F8">
        <w:rPr>
          <w:rFonts w:ascii="Times New Roman" w:hAnsi="Times New Roman" w:cs="Times New Roman"/>
        </w:rPr>
        <w:t xml:space="preserve"> 145-L, </w:t>
      </w:r>
      <w:r w:rsidR="000B4882" w:rsidRPr="004925F8">
        <w:rPr>
          <w:rFonts w:ascii="Times New Roman" w:hAnsi="Times New Roman" w:cs="Times New Roman"/>
        </w:rPr>
        <w:t xml:space="preserve">es </w:t>
      </w:r>
      <w:r w:rsidR="00C25162" w:rsidRPr="004925F8">
        <w:rPr>
          <w:rFonts w:ascii="Times New Roman" w:hAnsi="Times New Roman" w:cs="Times New Roman"/>
        </w:rPr>
        <w:t xml:space="preserve">que </w:t>
      </w:r>
      <w:r w:rsidR="000B4882" w:rsidRPr="004925F8">
        <w:rPr>
          <w:rFonts w:ascii="Times New Roman" w:hAnsi="Times New Roman" w:cs="Times New Roman"/>
        </w:rPr>
        <w:t>en la determina</w:t>
      </w:r>
      <w:r w:rsidR="00C25162" w:rsidRPr="004925F8">
        <w:rPr>
          <w:rFonts w:ascii="Times New Roman" w:hAnsi="Times New Roman" w:cs="Times New Roman"/>
        </w:rPr>
        <w:t>ción de la renta anual afecta al I</w:t>
      </w:r>
      <w:r w:rsidR="00BE487B" w:rsidRPr="004925F8">
        <w:rPr>
          <w:rFonts w:ascii="Times New Roman" w:hAnsi="Times New Roman" w:cs="Times New Roman"/>
        </w:rPr>
        <w:t>mpuesto</w:t>
      </w:r>
      <w:r w:rsidR="000B4882" w:rsidRPr="004925F8">
        <w:rPr>
          <w:rFonts w:ascii="Times New Roman" w:hAnsi="Times New Roman" w:cs="Times New Roman"/>
        </w:rPr>
        <w:t xml:space="preserve"> </w:t>
      </w:r>
      <w:r w:rsidR="00BE3A94" w:rsidRPr="004925F8">
        <w:rPr>
          <w:rFonts w:ascii="Times New Roman" w:hAnsi="Times New Roman" w:cs="Times New Roman"/>
        </w:rPr>
        <w:t>Gl</w:t>
      </w:r>
      <w:r w:rsidR="00C25162" w:rsidRPr="004925F8">
        <w:rPr>
          <w:rFonts w:ascii="Times New Roman" w:hAnsi="Times New Roman" w:cs="Times New Roman"/>
        </w:rPr>
        <w:t xml:space="preserve">obal Complementario </w:t>
      </w:r>
      <w:r w:rsidR="00CF21C9" w:rsidRPr="004925F8">
        <w:rPr>
          <w:rFonts w:ascii="Times New Roman" w:hAnsi="Times New Roman" w:cs="Times New Roman"/>
        </w:rPr>
        <w:t xml:space="preserve">se </w:t>
      </w:r>
      <w:r w:rsidR="000B4882" w:rsidRPr="004925F8">
        <w:rPr>
          <w:rFonts w:ascii="Times New Roman" w:hAnsi="Times New Roman" w:cs="Times New Roman"/>
        </w:rPr>
        <w:t>permite la deducción de los gastos efectivos incurridos en cada período y que hayan sido necesarios para producir la renta</w:t>
      </w:r>
      <w:r w:rsidR="00CF21C9" w:rsidRPr="004925F8">
        <w:rPr>
          <w:rFonts w:ascii="Times New Roman" w:hAnsi="Times New Roman" w:cs="Times New Roman"/>
        </w:rPr>
        <w:t>, o</w:t>
      </w:r>
      <w:r w:rsidR="002D66D5" w:rsidRPr="004925F8">
        <w:rPr>
          <w:rFonts w:ascii="Times New Roman" w:hAnsi="Times New Roman" w:cs="Times New Roman"/>
        </w:rPr>
        <w:t xml:space="preserve"> bien</w:t>
      </w:r>
      <w:r w:rsidR="00CF21C9" w:rsidRPr="004925F8">
        <w:rPr>
          <w:rFonts w:ascii="Times New Roman" w:hAnsi="Times New Roman" w:cs="Times New Roman"/>
        </w:rPr>
        <w:t xml:space="preserve"> rebajar en reemplazo de los gastos efectivos</w:t>
      </w:r>
      <w:r w:rsidR="00787E69" w:rsidRPr="004925F8">
        <w:rPr>
          <w:rFonts w:ascii="Times New Roman" w:hAnsi="Times New Roman" w:cs="Times New Roman"/>
        </w:rPr>
        <w:t>,</w:t>
      </w:r>
      <w:r w:rsidR="00CF21C9" w:rsidRPr="004925F8">
        <w:rPr>
          <w:rFonts w:ascii="Times New Roman" w:hAnsi="Times New Roman" w:cs="Times New Roman"/>
        </w:rPr>
        <w:t xml:space="preserve"> una presunción de gasto anual equivalente al 30% de las rentas anuales percibidas actualizadas, con un tope de 1</w:t>
      </w:r>
      <w:r w:rsidR="00C25162" w:rsidRPr="004925F8">
        <w:rPr>
          <w:rFonts w:ascii="Times New Roman" w:hAnsi="Times New Roman" w:cs="Times New Roman"/>
        </w:rPr>
        <w:t xml:space="preserve">5 unidades tributarias anuales; rebaja </w:t>
      </w:r>
      <w:r w:rsidR="00CF21C9" w:rsidRPr="004925F8">
        <w:rPr>
          <w:rFonts w:ascii="Times New Roman" w:hAnsi="Times New Roman" w:cs="Times New Roman"/>
        </w:rPr>
        <w:t>que no</w:t>
      </w:r>
      <w:r w:rsidR="00C25162" w:rsidRPr="004925F8">
        <w:rPr>
          <w:rFonts w:ascii="Times New Roman" w:hAnsi="Times New Roman" w:cs="Times New Roman"/>
        </w:rPr>
        <w:t xml:space="preserve"> asiste a los </w:t>
      </w:r>
      <w:r w:rsidR="002D66D5" w:rsidRPr="004925F8">
        <w:rPr>
          <w:rFonts w:ascii="Times New Roman" w:hAnsi="Times New Roman" w:cs="Times New Roman"/>
        </w:rPr>
        <w:t>trabajadores dependientes.</w:t>
      </w:r>
    </w:p>
    <w:p w:rsidR="001B29B5" w:rsidRPr="004925F8" w:rsidRDefault="00787E69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 xml:space="preserve">En cuanto </w:t>
      </w:r>
      <w:r w:rsidR="001B29B5" w:rsidRPr="004925F8">
        <w:rPr>
          <w:rFonts w:ascii="Times New Roman" w:hAnsi="Times New Roman" w:cs="Times New Roman"/>
        </w:rPr>
        <w:t xml:space="preserve">al efecto de encarecer </w:t>
      </w:r>
      <w:r w:rsidR="00742154" w:rsidRPr="004925F8">
        <w:rPr>
          <w:rFonts w:ascii="Times New Roman" w:hAnsi="Times New Roman" w:cs="Times New Roman"/>
        </w:rPr>
        <w:t xml:space="preserve">la contratación </w:t>
      </w:r>
      <w:r w:rsidR="00F540E1" w:rsidRPr="004925F8">
        <w:rPr>
          <w:rFonts w:ascii="Times New Roman" w:hAnsi="Times New Roman" w:cs="Times New Roman"/>
        </w:rPr>
        <w:t xml:space="preserve">en </w:t>
      </w:r>
      <w:r w:rsidR="00742154" w:rsidRPr="004925F8">
        <w:rPr>
          <w:rFonts w:ascii="Times New Roman" w:hAnsi="Times New Roman" w:cs="Times New Roman"/>
        </w:rPr>
        <w:t>el sector</w:t>
      </w:r>
      <w:r w:rsidR="00F540E1" w:rsidRPr="004925F8">
        <w:rPr>
          <w:rFonts w:ascii="Times New Roman" w:hAnsi="Times New Roman" w:cs="Times New Roman"/>
        </w:rPr>
        <w:t>, toda vez que las productoras tendrían una doble carga</w:t>
      </w:r>
      <w:r w:rsidR="001B29B5" w:rsidRPr="004925F8">
        <w:rPr>
          <w:rFonts w:ascii="Times New Roman" w:hAnsi="Times New Roman" w:cs="Times New Roman"/>
        </w:rPr>
        <w:t xml:space="preserve"> – </w:t>
      </w:r>
      <w:r w:rsidR="00F540E1" w:rsidRPr="004925F8">
        <w:rPr>
          <w:rFonts w:ascii="Times New Roman" w:hAnsi="Times New Roman" w:cs="Times New Roman"/>
        </w:rPr>
        <w:t>las cotizaciones de salud y previsión</w:t>
      </w:r>
      <w:r w:rsidR="00BE487B" w:rsidRPr="004925F8">
        <w:rPr>
          <w:rFonts w:ascii="Times New Roman" w:hAnsi="Times New Roman" w:cs="Times New Roman"/>
        </w:rPr>
        <w:t xml:space="preserve">, por una parte; </w:t>
      </w:r>
      <w:r w:rsidR="00F540E1" w:rsidRPr="004925F8">
        <w:rPr>
          <w:rFonts w:ascii="Times New Roman" w:hAnsi="Times New Roman" w:cs="Times New Roman"/>
        </w:rPr>
        <w:t xml:space="preserve">más el 10% por concepto de la retención que establece el artículo </w:t>
      </w:r>
      <w:r w:rsidR="00925B2D" w:rsidRPr="004925F8">
        <w:rPr>
          <w:rFonts w:ascii="Times New Roman" w:hAnsi="Times New Roman" w:cs="Times New Roman"/>
        </w:rPr>
        <w:t xml:space="preserve">74, N° 2, </w:t>
      </w:r>
      <w:r w:rsidR="00F540E1" w:rsidRPr="004925F8">
        <w:rPr>
          <w:rFonts w:ascii="Times New Roman" w:hAnsi="Times New Roman" w:cs="Times New Roman"/>
        </w:rPr>
        <w:t xml:space="preserve">de la </w:t>
      </w:r>
      <w:r w:rsidR="00770D66" w:rsidRPr="004925F8">
        <w:rPr>
          <w:rFonts w:ascii="Times New Roman" w:hAnsi="Times New Roman" w:cs="Times New Roman"/>
        </w:rPr>
        <w:t>Ley sobre Impuesto a la Renta</w:t>
      </w:r>
      <w:r w:rsidR="00BE487B" w:rsidRPr="004925F8">
        <w:rPr>
          <w:rFonts w:ascii="Times New Roman" w:hAnsi="Times New Roman" w:cs="Times New Roman"/>
        </w:rPr>
        <w:t>, por otra</w:t>
      </w:r>
      <w:r w:rsidR="001B29B5" w:rsidRPr="004925F8">
        <w:rPr>
          <w:rFonts w:ascii="Times New Roman" w:hAnsi="Times New Roman" w:cs="Times New Roman"/>
        </w:rPr>
        <w:t xml:space="preserve"> – </w:t>
      </w:r>
      <w:r w:rsidR="00000A91" w:rsidRPr="004925F8">
        <w:rPr>
          <w:rFonts w:ascii="Times New Roman" w:hAnsi="Times New Roman" w:cs="Times New Roman"/>
        </w:rPr>
        <w:t xml:space="preserve">no </w:t>
      </w:r>
      <w:r w:rsidR="001B29B5" w:rsidRPr="004925F8">
        <w:rPr>
          <w:rFonts w:ascii="Times New Roman" w:hAnsi="Times New Roman" w:cs="Times New Roman"/>
        </w:rPr>
        <w:t xml:space="preserve">compete a </w:t>
      </w:r>
      <w:r w:rsidR="00000A91" w:rsidRPr="004925F8">
        <w:rPr>
          <w:rFonts w:ascii="Times New Roman" w:hAnsi="Times New Roman" w:cs="Times New Roman"/>
        </w:rPr>
        <w:t xml:space="preserve">este Servicio </w:t>
      </w:r>
      <w:r w:rsidR="001B29B5" w:rsidRPr="004925F8">
        <w:rPr>
          <w:rFonts w:ascii="Times New Roman" w:hAnsi="Times New Roman" w:cs="Times New Roman"/>
        </w:rPr>
        <w:t xml:space="preserve">pronunciarse </w:t>
      </w:r>
      <w:r w:rsidR="005A5210" w:rsidRPr="004925F8">
        <w:rPr>
          <w:rFonts w:ascii="Times New Roman" w:hAnsi="Times New Roman" w:cs="Times New Roman"/>
        </w:rPr>
        <w:t xml:space="preserve">sobre las </w:t>
      </w:r>
      <w:r w:rsidR="00000A91" w:rsidRPr="004925F8">
        <w:rPr>
          <w:rFonts w:ascii="Times New Roman" w:hAnsi="Times New Roman" w:cs="Times New Roman"/>
        </w:rPr>
        <w:t>cotizaciones</w:t>
      </w:r>
      <w:r w:rsidR="005A5210" w:rsidRPr="004925F8">
        <w:rPr>
          <w:rFonts w:ascii="Times New Roman" w:hAnsi="Times New Roman" w:cs="Times New Roman"/>
        </w:rPr>
        <w:t xml:space="preserve"> de</w:t>
      </w:r>
      <w:r w:rsidR="00000A91" w:rsidRPr="004925F8">
        <w:rPr>
          <w:rFonts w:ascii="Times New Roman" w:hAnsi="Times New Roman" w:cs="Times New Roman"/>
        </w:rPr>
        <w:t xml:space="preserve"> salud y previsión</w:t>
      </w:r>
      <w:r w:rsidR="005A5210" w:rsidRPr="004925F8">
        <w:rPr>
          <w:rFonts w:ascii="Times New Roman" w:hAnsi="Times New Roman" w:cs="Times New Roman"/>
        </w:rPr>
        <w:t xml:space="preserve">, por tratarse de </w:t>
      </w:r>
      <w:r w:rsidR="001B29B5" w:rsidRPr="004925F8">
        <w:rPr>
          <w:rFonts w:ascii="Times New Roman" w:hAnsi="Times New Roman" w:cs="Times New Roman"/>
        </w:rPr>
        <w:t>materias</w:t>
      </w:r>
      <w:r w:rsidR="00000A91" w:rsidRPr="004925F8">
        <w:rPr>
          <w:rFonts w:ascii="Times New Roman" w:hAnsi="Times New Roman" w:cs="Times New Roman"/>
        </w:rPr>
        <w:t xml:space="preserve"> ajen</w:t>
      </w:r>
      <w:r w:rsidR="001B29B5" w:rsidRPr="004925F8">
        <w:rPr>
          <w:rFonts w:ascii="Times New Roman" w:hAnsi="Times New Roman" w:cs="Times New Roman"/>
        </w:rPr>
        <w:t>a</w:t>
      </w:r>
      <w:r w:rsidR="00000A91" w:rsidRPr="004925F8">
        <w:rPr>
          <w:rFonts w:ascii="Times New Roman" w:hAnsi="Times New Roman" w:cs="Times New Roman"/>
        </w:rPr>
        <w:t xml:space="preserve">s a su competencia. </w:t>
      </w:r>
    </w:p>
    <w:p w:rsidR="00787E69" w:rsidRPr="004925F8" w:rsidRDefault="008E7206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>En</w:t>
      </w:r>
      <w:r w:rsidR="005A5210" w:rsidRPr="004925F8">
        <w:rPr>
          <w:rFonts w:ascii="Times New Roman" w:hAnsi="Times New Roman" w:cs="Times New Roman"/>
        </w:rPr>
        <w:t xml:space="preserve"> lo que respecta a</w:t>
      </w:r>
      <w:r w:rsidR="002B54A5" w:rsidRPr="004925F8">
        <w:rPr>
          <w:rFonts w:ascii="Times New Roman" w:hAnsi="Times New Roman" w:cs="Times New Roman"/>
        </w:rPr>
        <w:t xml:space="preserve"> l</w:t>
      </w:r>
      <w:r w:rsidR="005A5210" w:rsidRPr="004925F8">
        <w:rPr>
          <w:rFonts w:ascii="Times New Roman" w:hAnsi="Times New Roman" w:cs="Times New Roman"/>
        </w:rPr>
        <w:t xml:space="preserve">a retención del impuesto de 10%, por aplicación de lo dispuesto en el </w:t>
      </w:r>
      <w:r w:rsidR="002B54A5" w:rsidRPr="004925F8">
        <w:rPr>
          <w:rFonts w:ascii="Times New Roman" w:hAnsi="Times New Roman" w:cs="Times New Roman"/>
        </w:rPr>
        <w:t xml:space="preserve">artículo </w:t>
      </w:r>
      <w:r w:rsidR="00925B2D" w:rsidRPr="004925F8">
        <w:rPr>
          <w:rFonts w:ascii="Times New Roman" w:hAnsi="Times New Roman" w:cs="Times New Roman"/>
        </w:rPr>
        <w:t xml:space="preserve">74, N° 2, </w:t>
      </w:r>
      <w:r w:rsidR="002B54A5" w:rsidRPr="004925F8">
        <w:rPr>
          <w:rFonts w:ascii="Times New Roman" w:hAnsi="Times New Roman" w:cs="Times New Roman"/>
        </w:rPr>
        <w:t xml:space="preserve">de la </w:t>
      </w:r>
      <w:r w:rsidR="00770D66" w:rsidRPr="004925F8">
        <w:rPr>
          <w:rFonts w:ascii="Times New Roman" w:hAnsi="Times New Roman" w:cs="Times New Roman"/>
        </w:rPr>
        <w:t>Ley sobre Impuesto a la Renta</w:t>
      </w:r>
      <w:r w:rsidR="002B54A5" w:rsidRPr="004925F8">
        <w:rPr>
          <w:rFonts w:ascii="Times New Roman" w:hAnsi="Times New Roman" w:cs="Times New Roman"/>
        </w:rPr>
        <w:t xml:space="preserve">, </w:t>
      </w:r>
      <w:r w:rsidR="005A5210" w:rsidRPr="004925F8">
        <w:rPr>
          <w:rFonts w:ascii="Times New Roman" w:hAnsi="Times New Roman" w:cs="Times New Roman"/>
        </w:rPr>
        <w:t xml:space="preserve">la Circular N° 60 de 2007 instruye que </w:t>
      </w:r>
      <w:r w:rsidR="002B54A5" w:rsidRPr="004925F8">
        <w:rPr>
          <w:rFonts w:ascii="Times New Roman" w:hAnsi="Times New Roman" w:cs="Times New Roman"/>
        </w:rPr>
        <w:t>los trabajadores de artes y espectáculos</w:t>
      </w:r>
      <w:r w:rsidR="005A5210" w:rsidRPr="004925F8">
        <w:rPr>
          <w:rFonts w:ascii="Times New Roman" w:hAnsi="Times New Roman" w:cs="Times New Roman"/>
        </w:rPr>
        <w:t xml:space="preserve"> </w:t>
      </w:r>
      <w:r w:rsidR="001B6CA2" w:rsidRPr="004925F8">
        <w:rPr>
          <w:rFonts w:ascii="Times New Roman" w:hAnsi="Times New Roman" w:cs="Times New Roman"/>
        </w:rPr>
        <w:t xml:space="preserve">deben emitir una boleta de honorarios por el valor bruto de la remuneración percibida, sin deducción alguna por concepto de cotizaciones previsionales, las cuales deben ser retenidas y declaradas </w:t>
      </w:r>
      <w:r w:rsidR="00470CCB" w:rsidRPr="004925F8">
        <w:rPr>
          <w:rFonts w:ascii="Times New Roman" w:hAnsi="Times New Roman" w:cs="Times New Roman"/>
        </w:rPr>
        <w:t>por los respectivos empleadores</w:t>
      </w:r>
      <w:r w:rsidR="00C36828" w:rsidRPr="004925F8">
        <w:rPr>
          <w:rFonts w:ascii="Times New Roman" w:hAnsi="Times New Roman" w:cs="Times New Roman"/>
        </w:rPr>
        <w:t>.</w:t>
      </w:r>
    </w:p>
    <w:p w:rsidR="00872EA0" w:rsidRPr="004925F8" w:rsidRDefault="002D299D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 xml:space="preserve">Como se </w:t>
      </w:r>
      <w:r w:rsidR="004B6378" w:rsidRPr="004925F8">
        <w:rPr>
          <w:rFonts w:ascii="Times New Roman" w:hAnsi="Times New Roman" w:cs="Times New Roman"/>
        </w:rPr>
        <w:t xml:space="preserve">observa, </w:t>
      </w:r>
      <w:r w:rsidR="00470CCB" w:rsidRPr="004925F8">
        <w:rPr>
          <w:rFonts w:ascii="Times New Roman" w:hAnsi="Times New Roman" w:cs="Times New Roman"/>
        </w:rPr>
        <w:t xml:space="preserve">y de acuerdo a las instrucciones de la Circular en base a la ley, </w:t>
      </w:r>
      <w:r w:rsidR="001B5CA5" w:rsidRPr="004925F8">
        <w:rPr>
          <w:rFonts w:ascii="Times New Roman" w:hAnsi="Times New Roman" w:cs="Times New Roman"/>
        </w:rPr>
        <w:t xml:space="preserve">la retención del 10% del impuesto que establece artículo </w:t>
      </w:r>
      <w:r w:rsidR="00925B2D" w:rsidRPr="004925F8">
        <w:rPr>
          <w:rFonts w:ascii="Times New Roman" w:hAnsi="Times New Roman" w:cs="Times New Roman"/>
        </w:rPr>
        <w:t xml:space="preserve">74, N° 2, </w:t>
      </w:r>
      <w:r w:rsidR="001B5CA5" w:rsidRPr="004925F8">
        <w:rPr>
          <w:rFonts w:ascii="Times New Roman" w:hAnsi="Times New Roman" w:cs="Times New Roman"/>
        </w:rPr>
        <w:t xml:space="preserve">de la </w:t>
      </w:r>
      <w:r w:rsidR="00770D66" w:rsidRPr="004925F8">
        <w:rPr>
          <w:rFonts w:ascii="Times New Roman" w:hAnsi="Times New Roman" w:cs="Times New Roman"/>
        </w:rPr>
        <w:t>Ley sobre Impuesto a la Renta</w:t>
      </w:r>
      <w:r w:rsidR="001B5CA5" w:rsidRPr="004925F8">
        <w:rPr>
          <w:rFonts w:ascii="Times New Roman" w:hAnsi="Times New Roman" w:cs="Times New Roman"/>
        </w:rPr>
        <w:t xml:space="preserve"> se deduce del monto bruto de la remuneración y, en consecuencia, no es de cargo del pagador de la renta.</w:t>
      </w:r>
      <w:r w:rsidR="00B31A21" w:rsidRPr="004925F8">
        <w:rPr>
          <w:rFonts w:ascii="Times New Roman" w:hAnsi="Times New Roman" w:cs="Times New Roman"/>
        </w:rPr>
        <w:t xml:space="preserve"> </w:t>
      </w:r>
      <w:r w:rsidR="00470CCB" w:rsidRPr="004925F8">
        <w:rPr>
          <w:rFonts w:ascii="Times New Roman" w:hAnsi="Times New Roman" w:cs="Times New Roman"/>
        </w:rPr>
        <w:t>L</w:t>
      </w:r>
      <w:r w:rsidR="00B31A21" w:rsidRPr="004925F8">
        <w:rPr>
          <w:rFonts w:ascii="Times New Roman" w:hAnsi="Times New Roman" w:cs="Times New Roman"/>
        </w:rPr>
        <w:t xml:space="preserve">a referida retención </w:t>
      </w:r>
      <w:r w:rsidR="004B6378" w:rsidRPr="004925F8">
        <w:rPr>
          <w:rFonts w:ascii="Times New Roman" w:hAnsi="Times New Roman" w:cs="Times New Roman"/>
        </w:rPr>
        <w:t xml:space="preserve">constituye un anticipo </w:t>
      </w:r>
      <w:r w:rsidR="00872EA0" w:rsidRPr="004925F8">
        <w:rPr>
          <w:rFonts w:ascii="Times New Roman" w:hAnsi="Times New Roman" w:cs="Times New Roman"/>
        </w:rPr>
        <w:t>del impuesto que deba pagar el contribuyente y</w:t>
      </w:r>
      <w:r w:rsidR="007B1CB1" w:rsidRPr="004925F8">
        <w:rPr>
          <w:rFonts w:ascii="Times New Roman" w:hAnsi="Times New Roman" w:cs="Times New Roman"/>
        </w:rPr>
        <w:t>, en caso que se produzca un exceso a favor del contribuyente, este se le devuelve.</w:t>
      </w:r>
    </w:p>
    <w:p w:rsidR="00925B2D" w:rsidRDefault="00925B2D" w:rsidP="001D1457">
      <w:pPr>
        <w:spacing w:line="240" w:lineRule="auto"/>
        <w:jc w:val="both"/>
        <w:rPr>
          <w:rFonts w:ascii="Times New Roman" w:hAnsi="Times New Roman" w:cs="Times New Roman"/>
        </w:rPr>
      </w:pPr>
      <w:r w:rsidRPr="004925F8">
        <w:rPr>
          <w:rFonts w:ascii="Times New Roman" w:hAnsi="Times New Roman" w:cs="Times New Roman"/>
        </w:rPr>
        <w:t>Finalmente, si el es</w:t>
      </w:r>
      <w:r w:rsidR="00B82506" w:rsidRPr="004925F8">
        <w:rPr>
          <w:rFonts w:ascii="Times New Roman" w:hAnsi="Times New Roman" w:cs="Times New Roman"/>
        </w:rPr>
        <w:t>tudio de la norma pasa porque las rentas obtenidas por los trabajadores de las artes y espectáculos se liberen de la</w:t>
      </w:r>
      <w:r w:rsidRPr="004925F8">
        <w:rPr>
          <w:rFonts w:ascii="Times New Roman" w:hAnsi="Times New Roman" w:cs="Times New Roman"/>
        </w:rPr>
        <w:t xml:space="preserve"> retención de</w:t>
      </w:r>
      <w:r w:rsidR="00743682" w:rsidRPr="004925F8">
        <w:rPr>
          <w:rFonts w:ascii="Times New Roman" w:hAnsi="Times New Roman" w:cs="Times New Roman"/>
        </w:rPr>
        <w:t>l</w:t>
      </w:r>
      <w:r w:rsidR="00B82506" w:rsidRPr="004925F8">
        <w:rPr>
          <w:rFonts w:ascii="Times New Roman" w:hAnsi="Times New Roman" w:cs="Times New Roman"/>
        </w:rPr>
        <w:t xml:space="preserve"> impuesto de 10% y de cualquier otro impuesto a la renta, implicaría tratar esas </w:t>
      </w:r>
      <w:r w:rsidR="00743682" w:rsidRPr="004925F8">
        <w:rPr>
          <w:rFonts w:ascii="Times New Roman" w:hAnsi="Times New Roman" w:cs="Times New Roman"/>
        </w:rPr>
        <w:t>renta</w:t>
      </w:r>
      <w:r w:rsidR="00B82506" w:rsidRPr="004925F8">
        <w:rPr>
          <w:rFonts w:ascii="Times New Roman" w:hAnsi="Times New Roman" w:cs="Times New Roman"/>
        </w:rPr>
        <w:t>s</w:t>
      </w:r>
      <w:r w:rsidR="00743682" w:rsidRPr="004925F8">
        <w:rPr>
          <w:rFonts w:ascii="Times New Roman" w:hAnsi="Times New Roman" w:cs="Times New Roman"/>
        </w:rPr>
        <w:t xml:space="preserve"> exenta</w:t>
      </w:r>
      <w:r w:rsidR="00B82506" w:rsidRPr="004925F8">
        <w:rPr>
          <w:rFonts w:ascii="Times New Roman" w:hAnsi="Times New Roman" w:cs="Times New Roman"/>
        </w:rPr>
        <w:t>s</w:t>
      </w:r>
      <w:r w:rsidR="00743682" w:rsidRPr="004925F8">
        <w:rPr>
          <w:rFonts w:ascii="Times New Roman" w:hAnsi="Times New Roman" w:cs="Times New Roman"/>
        </w:rPr>
        <w:t>, p</w:t>
      </w:r>
      <w:r w:rsidRPr="004925F8">
        <w:rPr>
          <w:rFonts w:ascii="Times New Roman" w:hAnsi="Times New Roman" w:cs="Times New Roman"/>
        </w:rPr>
        <w:t xml:space="preserve">odría infringir lo dispuesto en el artículo 19 N° 20, de la </w:t>
      </w:r>
      <w:r w:rsidRPr="004925F8">
        <w:rPr>
          <w:rFonts w:ascii="Times New Roman" w:hAnsi="Times New Roman" w:cs="Times New Roman"/>
        </w:rPr>
        <w:lastRenderedPageBreak/>
        <w:t>Constitución Política de la República, que ampara la igual repartición de los tributos en proporción a las rentas o en la progresión o fo</w:t>
      </w:r>
      <w:r w:rsidR="00743682" w:rsidRPr="004925F8">
        <w:rPr>
          <w:rFonts w:ascii="Times New Roman" w:hAnsi="Times New Roman" w:cs="Times New Roman"/>
        </w:rPr>
        <w:t>rma que fije la ley, en la medida que dos contribuyentes con el mismo ingreso, por el hecho de provenir de fuentes y actividades distintas, estarían sujetas a distinta carga tributaria.</w:t>
      </w:r>
    </w:p>
    <w:p w:rsidR="00535781" w:rsidRPr="004925F8" w:rsidRDefault="00535781" w:rsidP="001D1457">
      <w:pPr>
        <w:spacing w:line="240" w:lineRule="auto"/>
        <w:jc w:val="both"/>
        <w:rPr>
          <w:rFonts w:ascii="Times New Roman" w:hAnsi="Times New Roman" w:cs="Times New Roman"/>
        </w:rPr>
      </w:pPr>
    </w:p>
    <w:p w:rsidR="002D66D5" w:rsidRPr="004925F8" w:rsidRDefault="001B5CA5" w:rsidP="00470CCB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4925F8">
        <w:rPr>
          <w:rFonts w:ascii="Times New Roman" w:hAnsi="Times New Roman" w:cs="Times New Roman"/>
          <w:b/>
        </w:rPr>
        <w:t>I</w:t>
      </w:r>
      <w:r w:rsidR="009254D1" w:rsidRPr="004925F8">
        <w:rPr>
          <w:rFonts w:ascii="Times New Roman" w:hAnsi="Times New Roman" w:cs="Times New Roman"/>
          <w:b/>
        </w:rPr>
        <w:t>I</w:t>
      </w:r>
      <w:r w:rsidR="00470CCB" w:rsidRPr="004925F8">
        <w:rPr>
          <w:rFonts w:ascii="Times New Roman" w:hAnsi="Times New Roman" w:cs="Times New Roman"/>
          <w:b/>
        </w:rPr>
        <w:t>I</w:t>
      </w:r>
      <w:r w:rsidR="00470CCB" w:rsidRPr="004925F8">
        <w:rPr>
          <w:rFonts w:ascii="Times New Roman" w:hAnsi="Times New Roman" w:cs="Times New Roman"/>
          <w:b/>
        </w:rPr>
        <w:tab/>
      </w:r>
      <w:r w:rsidR="009254D1" w:rsidRPr="004925F8">
        <w:rPr>
          <w:rFonts w:ascii="Times New Roman" w:hAnsi="Times New Roman" w:cs="Times New Roman"/>
          <w:b/>
        </w:rPr>
        <w:t>CONCLUSIÓN</w:t>
      </w:r>
    </w:p>
    <w:p w:rsidR="00470CCB" w:rsidRPr="004925F8" w:rsidRDefault="00470CCB" w:rsidP="00095BD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4925F8">
        <w:rPr>
          <w:rFonts w:ascii="Times New Roman" w:eastAsia="Times New Roman" w:hAnsi="Times New Roman" w:cs="Times New Roman"/>
          <w:lang w:eastAsia="es-CL"/>
        </w:rPr>
        <w:t xml:space="preserve">Conforme lo expuesto y al </w:t>
      </w:r>
      <w:r w:rsidR="00C25162" w:rsidRPr="004925F8">
        <w:rPr>
          <w:rFonts w:ascii="Times New Roman" w:eastAsia="Times New Roman" w:hAnsi="Times New Roman" w:cs="Times New Roman"/>
          <w:lang w:eastAsia="es-CL"/>
        </w:rPr>
        <w:t xml:space="preserve">artículo </w:t>
      </w:r>
      <w:r w:rsidR="00FD3B59" w:rsidRPr="004925F8">
        <w:rPr>
          <w:rFonts w:ascii="Times New Roman" w:eastAsia="Times New Roman" w:hAnsi="Times New Roman" w:cs="Times New Roman"/>
          <w:lang w:eastAsia="es-CL"/>
        </w:rPr>
        <w:t>145-L</w:t>
      </w:r>
      <w:r w:rsidRPr="004925F8">
        <w:rPr>
          <w:rFonts w:ascii="Times New Roman" w:eastAsia="Times New Roman" w:hAnsi="Times New Roman" w:cs="Times New Roman"/>
          <w:lang w:eastAsia="es-CL"/>
        </w:rPr>
        <w:t xml:space="preserve"> del Código del Trabajo</w:t>
      </w:r>
      <w:r w:rsidR="00FD3B59" w:rsidRPr="004925F8">
        <w:rPr>
          <w:rFonts w:ascii="Times New Roman" w:eastAsia="Times New Roman" w:hAnsi="Times New Roman" w:cs="Times New Roman"/>
          <w:lang w:eastAsia="es-CL"/>
        </w:rPr>
        <w:t xml:space="preserve">, </w:t>
      </w:r>
      <w:r w:rsidRPr="004925F8">
        <w:rPr>
          <w:rFonts w:ascii="Times New Roman" w:eastAsia="Times New Roman" w:hAnsi="Times New Roman" w:cs="Times New Roman"/>
          <w:lang w:eastAsia="es-CL"/>
        </w:rPr>
        <w:t xml:space="preserve">los trabajadores de artes y espectáculos </w:t>
      </w:r>
      <w:r w:rsidR="00FD3B59" w:rsidRPr="004925F8">
        <w:rPr>
          <w:rFonts w:ascii="Times New Roman" w:eastAsia="Times New Roman" w:hAnsi="Times New Roman" w:cs="Times New Roman"/>
          <w:lang w:eastAsia="es-CL"/>
        </w:rPr>
        <w:t xml:space="preserve">básicamente </w:t>
      </w:r>
      <w:r w:rsidR="000532C9" w:rsidRPr="004925F8">
        <w:rPr>
          <w:rFonts w:ascii="Times New Roman" w:eastAsia="Times New Roman" w:hAnsi="Times New Roman" w:cs="Times New Roman"/>
          <w:lang w:eastAsia="es-CL"/>
        </w:rPr>
        <w:t>quedaron sujeto</w:t>
      </w:r>
      <w:r w:rsidR="00511CD2" w:rsidRPr="004925F8">
        <w:rPr>
          <w:rFonts w:ascii="Times New Roman" w:eastAsia="Times New Roman" w:hAnsi="Times New Roman" w:cs="Times New Roman"/>
          <w:lang w:eastAsia="es-CL"/>
        </w:rPr>
        <w:t xml:space="preserve">s a la tributación </w:t>
      </w:r>
      <w:r w:rsidRPr="004925F8">
        <w:rPr>
          <w:rFonts w:ascii="Times New Roman" w:eastAsia="Times New Roman" w:hAnsi="Times New Roman" w:cs="Times New Roman"/>
          <w:lang w:eastAsia="es-CL"/>
        </w:rPr>
        <w:t>señalada</w:t>
      </w:r>
      <w:r w:rsidR="00511CD2" w:rsidRPr="004925F8">
        <w:rPr>
          <w:rFonts w:ascii="Times New Roman" w:eastAsia="Times New Roman" w:hAnsi="Times New Roman" w:cs="Times New Roman"/>
          <w:lang w:eastAsia="es-CL"/>
        </w:rPr>
        <w:t xml:space="preserve"> en el artículo </w:t>
      </w:r>
      <w:r w:rsidR="00925B2D" w:rsidRPr="004925F8">
        <w:rPr>
          <w:rFonts w:ascii="Times New Roman" w:eastAsia="Times New Roman" w:hAnsi="Times New Roman" w:cs="Times New Roman"/>
          <w:lang w:eastAsia="es-CL"/>
        </w:rPr>
        <w:t xml:space="preserve">42, N° 2, </w:t>
      </w:r>
      <w:r w:rsidR="00511CD2" w:rsidRPr="004925F8">
        <w:rPr>
          <w:rFonts w:ascii="Times New Roman" w:eastAsia="Times New Roman" w:hAnsi="Times New Roman" w:cs="Times New Roman"/>
          <w:lang w:eastAsia="es-CL"/>
        </w:rPr>
        <w:t xml:space="preserve">de la </w:t>
      </w:r>
      <w:r w:rsidR="00770D66" w:rsidRPr="004925F8">
        <w:rPr>
          <w:rFonts w:ascii="Times New Roman" w:eastAsia="Times New Roman" w:hAnsi="Times New Roman" w:cs="Times New Roman"/>
          <w:lang w:eastAsia="es-CL"/>
        </w:rPr>
        <w:t>Ley sobre Impuesto a la Renta</w:t>
      </w:r>
      <w:r w:rsidR="00511CD2" w:rsidRPr="004925F8">
        <w:rPr>
          <w:rFonts w:ascii="Times New Roman" w:eastAsia="Times New Roman" w:hAnsi="Times New Roman" w:cs="Times New Roman"/>
          <w:lang w:eastAsia="es-CL"/>
        </w:rPr>
        <w:t>.</w:t>
      </w:r>
      <w:r w:rsidRPr="004925F8">
        <w:rPr>
          <w:rFonts w:ascii="Times New Roman" w:eastAsia="Times New Roman" w:hAnsi="Times New Roman" w:cs="Times New Roman"/>
          <w:lang w:eastAsia="es-CL"/>
        </w:rPr>
        <w:t xml:space="preserve"> </w:t>
      </w:r>
    </w:p>
    <w:p w:rsidR="00470CCB" w:rsidRPr="004925F8" w:rsidRDefault="00F807B0" w:rsidP="00095BD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4925F8">
        <w:rPr>
          <w:rFonts w:ascii="Times New Roman" w:eastAsia="Times New Roman" w:hAnsi="Times New Roman" w:cs="Times New Roman"/>
          <w:lang w:eastAsia="es-CL"/>
        </w:rPr>
        <w:t xml:space="preserve">En cuanto </w:t>
      </w:r>
      <w:r w:rsidR="00470CCB" w:rsidRPr="004925F8">
        <w:rPr>
          <w:rFonts w:ascii="Times New Roman" w:eastAsia="Times New Roman" w:hAnsi="Times New Roman" w:cs="Times New Roman"/>
          <w:lang w:eastAsia="es-CL"/>
        </w:rPr>
        <w:t xml:space="preserve">a un eventual encarecimiento de la actividad producto de la doble carga que significa para las productoras soportar tanto </w:t>
      </w:r>
      <w:r w:rsidRPr="004925F8">
        <w:rPr>
          <w:rFonts w:ascii="Times New Roman" w:eastAsia="Times New Roman" w:hAnsi="Times New Roman" w:cs="Times New Roman"/>
          <w:lang w:eastAsia="es-CL"/>
        </w:rPr>
        <w:t xml:space="preserve">las cotizaciones de salud y previsión, </w:t>
      </w:r>
      <w:r w:rsidR="00470CCB" w:rsidRPr="004925F8">
        <w:rPr>
          <w:rFonts w:ascii="Times New Roman" w:eastAsia="Times New Roman" w:hAnsi="Times New Roman" w:cs="Times New Roman"/>
          <w:lang w:eastAsia="es-CL"/>
        </w:rPr>
        <w:t>como</w:t>
      </w:r>
      <w:r w:rsidRPr="004925F8">
        <w:rPr>
          <w:rFonts w:ascii="Times New Roman" w:eastAsia="Times New Roman" w:hAnsi="Times New Roman" w:cs="Times New Roman"/>
          <w:lang w:eastAsia="es-CL"/>
        </w:rPr>
        <w:t xml:space="preserve"> el 10% por concepto de la retención que establece el artículo </w:t>
      </w:r>
      <w:r w:rsidR="00925B2D" w:rsidRPr="004925F8">
        <w:rPr>
          <w:rFonts w:ascii="Times New Roman" w:eastAsia="Times New Roman" w:hAnsi="Times New Roman" w:cs="Times New Roman"/>
          <w:lang w:eastAsia="es-CL"/>
        </w:rPr>
        <w:t xml:space="preserve">74, N° 2, </w:t>
      </w:r>
      <w:r w:rsidRPr="004925F8">
        <w:rPr>
          <w:rFonts w:ascii="Times New Roman" w:eastAsia="Times New Roman" w:hAnsi="Times New Roman" w:cs="Times New Roman"/>
          <w:lang w:eastAsia="es-CL"/>
        </w:rPr>
        <w:t xml:space="preserve">de la </w:t>
      </w:r>
      <w:r w:rsidR="00770D66" w:rsidRPr="004925F8">
        <w:rPr>
          <w:rFonts w:ascii="Times New Roman" w:eastAsia="Times New Roman" w:hAnsi="Times New Roman" w:cs="Times New Roman"/>
          <w:lang w:eastAsia="es-CL"/>
        </w:rPr>
        <w:t>Ley sobre Impuesto a la Renta</w:t>
      </w:r>
      <w:r w:rsidRPr="004925F8">
        <w:rPr>
          <w:rFonts w:ascii="Times New Roman" w:eastAsia="Times New Roman" w:hAnsi="Times New Roman" w:cs="Times New Roman"/>
          <w:lang w:eastAsia="es-CL"/>
        </w:rPr>
        <w:t xml:space="preserve">, </w:t>
      </w:r>
      <w:r w:rsidR="00470CCB" w:rsidRPr="004925F8">
        <w:rPr>
          <w:rFonts w:ascii="Times New Roman" w:eastAsia="Times New Roman" w:hAnsi="Times New Roman" w:cs="Times New Roman"/>
          <w:lang w:eastAsia="es-CL"/>
        </w:rPr>
        <w:t xml:space="preserve">cabe señalar que </w:t>
      </w:r>
      <w:r w:rsidRPr="004925F8">
        <w:rPr>
          <w:rFonts w:ascii="Times New Roman" w:eastAsia="Times New Roman" w:hAnsi="Times New Roman" w:cs="Times New Roman"/>
          <w:lang w:eastAsia="es-CL"/>
        </w:rPr>
        <w:t>no le corresponde a este Servicio emitir un informe</w:t>
      </w:r>
      <w:r w:rsidR="00470CCB" w:rsidRPr="004925F8">
        <w:rPr>
          <w:rFonts w:ascii="Times New Roman" w:eastAsia="Times New Roman" w:hAnsi="Times New Roman" w:cs="Times New Roman"/>
          <w:lang w:eastAsia="es-CL"/>
        </w:rPr>
        <w:t xml:space="preserve"> respecto de las cotizaciones de salud y previsión</w:t>
      </w:r>
      <w:r w:rsidRPr="004925F8">
        <w:rPr>
          <w:rFonts w:ascii="Times New Roman" w:eastAsia="Times New Roman" w:hAnsi="Times New Roman" w:cs="Times New Roman"/>
          <w:lang w:eastAsia="es-CL"/>
        </w:rPr>
        <w:t xml:space="preserve">. </w:t>
      </w:r>
    </w:p>
    <w:p w:rsidR="00511CD2" w:rsidRPr="004925F8" w:rsidRDefault="00470CCB" w:rsidP="00095BD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4925F8">
        <w:rPr>
          <w:rFonts w:ascii="Times New Roman" w:eastAsia="Times New Roman" w:hAnsi="Times New Roman" w:cs="Times New Roman"/>
          <w:lang w:eastAsia="es-CL"/>
        </w:rPr>
        <w:t>En lo que respecta a</w:t>
      </w:r>
      <w:r w:rsidR="00511CD2" w:rsidRPr="004925F8">
        <w:rPr>
          <w:rFonts w:ascii="Times New Roman" w:eastAsia="Times New Roman" w:hAnsi="Times New Roman" w:cs="Times New Roman"/>
          <w:lang w:eastAsia="es-CL"/>
        </w:rPr>
        <w:t xml:space="preserve"> la retención del </w:t>
      </w:r>
      <w:r w:rsidR="00B571FA" w:rsidRPr="004925F8">
        <w:rPr>
          <w:rFonts w:ascii="Times New Roman" w:eastAsia="Times New Roman" w:hAnsi="Times New Roman" w:cs="Times New Roman"/>
          <w:lang w:eastAsia="es-CL"/>
        </w:rPr>
        <w:t xml:space="preserve">impuesto de 10% que establece el artículo </w:t>
      </w:r>
      <w:r w:rsidR="00925B2D" w:rsidRPr="004925F8">
        <w:rPr>
          <w:rFonts w:ascii="Times New Roman" w:eastAsia="Times New Roman" w:hAnsi="Times New Roman" w:cs="Times New Roman"/>
          <w:lang w:eastAsia="es-CL"/>
        </w:rPr>
        <w:t xml:space="preserve">74, N° 2, </w:t>
      </w:r>
      <w:r w:rsidR="00B571FA" w:rsidRPr="004925F8">
        <w:rPr>
          <w:rFonts w:ascii="Times New Roman" w:eastAsia="Times New Roman" w:hAnsi="Times New Roman" w:cs="Times New Roman"/>
          <w:lang w:eastAsia="es-CL"/>
        </w:rPr>
        <w:t xml:space="preserve">de la </w:t>
      </w:r>
      <w:r w:rsidR="00770D66" w:rsidRPr="004925F8">
        <w:rPr>
          <w:rFonts w:ascii="Times New Roman" w:eastAsia="Times New Roman" w:hAnsi="Times New Roman" w:cs="Times New Roman"/>
          <w:lang w:eastAsia="es-CL"/>
        </w:rPr>
        <w:t>Ley sobre Impuesto a la Renta</w:t>
      </w:r>
      <w:r w:rsidR="00B571FA" w:rsidRPr="004925F8">
        <w:rPr>
          <w:rFonts w:ascii="Times New Roman" w:eastAsia="Times New Roman" w:hAnsi="Times New Roman" w:cs="Times New Roman"/>
          <w:lang w:eastAsia="es-CL"/>
        </w:rPr>
        <w:t xml:space="preserve">, </w:t>
      </w:r>
      <w:r w:rsidRPr="004925F8">
        <w:rPr>
          <w:rFonts w:ascii="Times New Roman" w:eastAsia="Times New Roman" w:hAnsi="Times New Roman" w:cs="Times New Roman"/>
          <w:lang w:eastAsia="es-CL"/>
        </w:rPr>
        <w:t xml:space="preserve">se informa que estrictamente </w:t>
      </w:r>
      <w:r w:rsidR="00B571FA" w:rsidRPr="004925F8">
        <w:rPr>
          <w:rFonts w:ascii="Times New Roman" w:eastAsia="Times New Roman" w:hAnsi="Times New Roman" w:cs="Times New Roman"/>
          <w:lang w:eastAsia="es-CL"/>
        </w:rPr>
        <w:t>no es de cargo del pagador de la renta, sino del perceptor de la misma</w:t>
      </w:r>
      <w:r w:rsidRPr="004925F8">
        <w:rPr>
          <w:rFonts w:ascii="Times New Roman" w:eastAsia="Times New Roman" w:hAnsi="Times New Roman" w:cs="Times New Roman"/>
          <w:lang w:eastAsia="es-CL"/>
        </w:rPr>
        <w:t xml:space="preserve">, a quien se le descuenta y retiene el importe del impuesto. </w:t>
      </w:r>
    </w:p>
    <w:p w:rsidR="00B82506" w:rsidRPr="004925F8" w:rsidRDefault="00B82506" w:rsidP="00095BD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4925F8">
        <w:rPr>
          <w:rFonts w:ascii="Times New Roman" w:eastAsia="Times New Roman" w:hAnsi="Times New Roman" w:cs="Times New Roman"/>
          <w:lang w:eastAsia="es-CL"/>
        </w:rPr>
        <w:t>Una eventual</w:t>
      </w:r>
      <w:r w:rsidR="00EA24B3" w:rsidRPr="004925F8">
        <w:rPr>
          <w:rFonts w:ascii="Times New Roman" w:eastAsia="Times New Roman" w:hAnsi="Times New Roman" w:cs="Times New Roman"/>
          <w:lang w:eastAsia="es-CL"/>
        </w:rPr>
        <w:t xml:space="preserve"> modificación legal destinada a liberar de impuesto a las rentas obtenidas </w:t>
      </w:r>
      <w:r w:rsidR="00EA24B3" w:rsidRPr="004925F8">
        <w:rPr>
          <w:rFonts w:ascii="Times New Roman" w:hAnsi="Times New Roman" w:cs="Times New Roman"/>
        </w:rPr>
        <w:t>por los trabajadores de las artes y espectáculos podría infringir lo dispuesto en el artículo 19 N° 20, de la Constitución Política de la República.</w:t>
      </w:r>
    </w:p>
    <w:p w:rsidR="000A32BC" w:rsidRPr="004925F8" w:rsidRDefault="000A32BC" w:rsidP="000A32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2073" w:rsidRPr="004925F8" w:rsidRDefault="006C2073" w:rsidP="000A32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2073" w:rsidRDefault="006C2073" w:rsidP="000A32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52C" w:rsidRDefault="00D7452C" w:rsidP="000A32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52C" w:rsidRPr="004925F8" w:rsidRDefault="00D7452C" w:rsidP="000A32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2073" w:rsidRPr="004925F8" w:rsidRDefault="006C2073" w:rsidP="000A32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32BC" w:rsidRPr="004925F8" w:rsidRDefault="006C2073" w:rsidP="006C2073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</w:rPr>
      </w:pPr>
      <w:r w:rsidRPr="004925F8">
        <w:rPr>
          <w:rFonts w:ascii="Times New Roman" w:hAnsi="Times New Roman" w:cs="Times New Roman"/>
          <w:b/>
        </w:rPr>
        <w:t xml:space="preserve">   </w:t>
      </w:r>
      <w:r w:rsidR="000A32BC" w:rsidRPr="004925F8">
        <w:rPr>
          <w:rFonts w:ascii="Times New Roman" w:hAnsi="Times New Roman" w:cs="Times New Roman"/>
          <w:b/>
        </w:rPr>
        <w:t>FERNANDO BARRAZA LUENGO</w:t>
      </w:r>
    </w:p>
    <w:p w:rsidR="000A32BC" w:rsidRPr="004925F8" w:rsidRDefault="000A32BC" w:rsidP="006C2073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</w:rPr>
      </w:pPr>
      <w:r w:rsidRPr="004925F8">
        <w:rPr>
          <w:rFonts w:ascii="Times New Roman" w:hAnsi="Times New Roman" w:cs="Times New Roman"/>
          <w:b/>
        </w:rPr>
        <w:t>DIRECTOR</w:t>
      </w:r>
    </w:p>
    <w:p w:rsidR="000A32BC" w:rsidRDefault="000A32BC" w:rsidP="00535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781" w:rsidRDefault="00535781" w:rsidP="00535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781" w:rsidRDefault="00535781" w:rsidP="00535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781" w:rsidRDefault="00535781" w:rsidP="00535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52C" w:rsidRDefault="00D7452C" w:rsidP="00535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52C" w:rsidRDefault="00D7452C" w:rsidP="0053578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35781" w:rsidRDefault="00535781" w:rsidP="00535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781" w:rsidRDefault="00535781" w:rsidP="005357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N°1951, de 06.07.2016</w:t>
      </w:r>
    </w:p>
    <w:p w:rsidR="00535781" w:rsidRDefault="00535781" w:rsidP="00535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535781" w:rsidRPr="00535781" w:rsidRDefault="00535781" w:rsidP="00535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5781">
        <w:rPr>
          <w:rFonts w:ascii="Times New Roman" w:hAnsi="Times New Roman" w:cs="Times New Roman"/>
        </w:rPr>
        <w:t>Dpto. de Técnica Tributaria</w:t>
      </w:r>
    </w:p>
    <w:sectPr w:rsidR="00535781" w:rsidRPr="00535781" w:rsidSect="001D1457">
      <w:headerReference w:type="default" r:id="rId8"/>
      <w:pgSz w:w="12242" w:h="18722" w:code="14"/>
      <w:pgMar w:top="1560" w:right="170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28" w:rsidRDefault="00CB6028" w:rsidP="007556E1">
      <w:pPr>
        <w:spacing w:after="0" w:line="240" w:lineRule="auto"/>
      </w:pPr>
      <w:r>
        <w:separator/>
      </w:r>
    </w:p>
  </w:endnote>
  <w:endnote w:type="continuationSeparator" w:id="0">
    <w:p w:rsidR="00CB6028" w:rsidRDefault="00CB6028" w:rsidP="0075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28" w:rsidRDefault="00CB6028" w:rsidP="007556E1">
      <w:pPr>
        <w:spacing w:after="0" w:line="240" w:lineRule="auto"/>
      </w:pPr>
      <w:r>
        <w:separator/>
      </w:r>
    </w:p>
  </w:footnote>
  <w:footnote w:type="continuationSeparator" w:id="0">
    <w:p w:rsidR="00CB6028" w:rsidRDefault="00CB6028" w:rsidP="007556E1">
      <w:pPr>
        <w:spacing w:after="0" w:line="240" w:lineRule="auto"/>
      </w:pPr>
      <w:r>
        <w:continuationSeparator/>
      </w:r>
    </w:p>
  </w:footnote>
  <w:footnote w:id="1">
    <w:p w:rsidR="004F7C60" w:rsidRPr="00573CD0" w:rsidRDefault="004F7C60" w:rsidP="00573CD0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573CD0">
        <w:rPr>
          <w:rStyle w:val="Refdenotaalpie"/>
          <w:rFonts w:ascii="Arial" w:hAnsi="Arial" w:cs="Arial"/>
          <w:sz w:val="16"/>
          <w:szCs w:val="16"/>
        </w:rPr>
        <w:footnoteRef/>
      </w:r>
      <w:r w:rsidRPr="00573CD0">
        <w:rPr>
          <w:rFonts w:ascii="Arial" w:hAnsi="Arial" w:cs="Arial"/>
          <w:sz w:val="16"/>
          <w:szCs w:val="16"/>
        </w:rPr>
        <w:t xml:space="preserve"> Ordinario N° 1374/026 de fecha 01.04.2008.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96914289"/>
      <w:docPartObj>
        <w:docPartGallery w:val="Page Numbers (Top of Page)"/>
        <w:docPartUnique/>
      </w:docPartObj>
    </w:sdtPr>
    <w:sdtEndPr/>
    <w:sdtContent>
      <w:p w:rsidR="001D1457" w:rsidRPr="001D1457" w:rsidRDefault="001D1457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1D1457">
          <w:rPr>
            <w:rFonts w:ascii="Arial" w:hAnsi="Arial" w:cs="Arial"/>
            <w:sz w:val="16"/>
            <w:szCs w:val="16"/>
          </w:rPr>
          <w:fldChar w:fldCharType="begin"/>
        </w:r>
        <w:r w:rsidRPr="001D1457">
          <w:rPr>
            <w:rFonts w:ascii="Arial" w:hAnsi="Arial" w:cs="Arial"/>
            <w:sz w:val="16"/>
            <w:szCs w:val="16"/>
          </w:rPr>
          <w:instrText>PAGE   \* MERGEFORMAT</w:instrText>
        </w:r>
        <w:r w:rsidRPr="001D1457">
          <w:rPr>
            <w:rFonts w:ascii="Arial" w:hAnsi="Arial" w:cs="Arial"/>
            <w:sz w:val="16"/>
            <w:szCs w:val="16"/>
          </w:rPr>
          <w:fldChar w:fldCharType="separate"/>
        </w:r>
        <w:r w:rsidR="00D7452C" w:rsidRPr="00D7452C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1D14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D1457" w:rsidRPr="001D1457" w:rsidRDefault="001D145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AAC"/>
    <w:multiLevelType w:val="hybridMultilevel"/>
    <w:tmpl w:val="3B4402B8"/>
    <w:lvl w:ilvl="0" w:tplc="E33AB3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1D35"/>
    <w:multiLevelType w:val="hybridMultilevel"/>
    <w:tmpl w:val="A72E039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6F6BCB"/>
    <w:multiLevelType w:val="hybridMultilevel"/>
    <w:tmpl w:val="33E42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7"/>
    <w:rsid w:val="00000A91"/>
    <w:rsid w:val="000532C9"/>
    <w:rsid w:val="00061735"/>
    <w:rsid w:val="00065AAD"/>
    <w:rsid w:val="000670C8"/>
    <w:rsid w:val="00086D25"/>
    <w:rsid w:val="00095BD5"/>
    <w:rsid w:val="000A32BC"/>
    <w:rsid w:val="000B4882"/>
    <w:rsid w:val="000C0E02"/>
    <w:rsid w:val="000C14F5"/>
    <w:rsid w:val="001042B1"/>
    <w:rsid w:val="001105DF"/>
    <w:rsid w:val="001419FF"/>
    <w:rsid w:val="001440ED"/>
    <w:rsid w:val="00156B32"/>
    <w:rsid w:val="00174A38"/>
    <w:rsid w:val="0018151C"/>
    <w:rsid w:val="001B29B5"/>
    <w:rsid w:val="001B5CA5"/>
    <w:rsid w:val="001B6CA2"/>
    <w:rsid w:val="001C2E61"/>
    <w:rsid w:val="001D1457"/>
    <w:rsid w:val="001F08E4"/>
    <w:rsid w:val="001F3CC4"/>
    <w:rsid w:val="0022361C"/>
    <w:rsid w:val="00235F6C"/>
    <w:rsid w:val="002600DA"/>
    <w:rsid w:val="002611D1"/>
    <w:rsid w:val="002718FC"/>
    <w:rsid w:val="0027592F"/>
    <w:rsid w:val="002802A9"/>
    <w:rsid w:val="00290445"/>
    <w:rsid w:val="002B54A5"/>
    <w:rsid w:val="002D299D"/>
    <w:rsid w:val="002D5907"/>
    <w:rsid w:val="002D66D5"/>
    <w:rsid w:val="00316B3E"/>
    <w:rsid w:val="0034550D"/>
    <w:rsid w:val="00345F8D"/>
    <w:rsid w:val="003715C4"/>
    <w:rsid w:val="00433C44"/>
    <w:rsid w:val="00461B03"/>
    <w:rsid w:val="00470CCB"/>
    <w:rsid w:val="00483017"/>
    <w:rsid w:val="004925F8"/>
    <w:rsid w:val="004A3350"/>
    <w:rsid w:val="004B6378"/>
    <w:rsid w:val="004B7519"/>
    <w:rsid w:val="004D43DB"/>
    <w:rsid w:val="004D7734"/>
    <w:rsid w:val="004E77EB"/>
    <w:rsid w:val="004F7C60"/>
    <w:rsid w:val="00511CD2"/>
    <w:rsid w:val="00525FED"/>
    <w:rsid w:val="00531933"/>
    <w:rsid w:val="00535781"/>
    <w:rsid w:val="00542BE5"/>
    <w:rsid w:val="005706A9"/>
    <w:rsid w:val="00573CD0"/>
    <w:rsid w:val="005926F7"/>
    <w:rsid w:val="00595241"/>
    <w:rsid w:val="005A5210"/>
    <w:rsid w:val="005B1FD4"/>
    <w:rsid w:val="005B6CB1"/>
    <w:rsid w:val="005C56A2"/>
    <w:rsid w:val="005C7D2F"/>
    <w:rsid w:val="005D691B"/>
    <w:rsid w:val="005D7516"/>
    <w:rsid w:val="005E4AC7"/>
    <w:rsid w:val="005F52C0"/>
    <w:rsid w:val="006061D3"/>
    <w:rsid w:val="00635775"/>
    <w:rsid w:val="00672098"/>
    <w:rsid w:val="0069393A"/>
    <w:rsid w:val="006B7BC5"/>
    <w:rsid w:val="006C2073"/>
    <w:rsid w:val="006F3670"/>
    <w:rsid w:val="0071142C"/>
    <w:rsid w:val="00720F9F"/>
    <w:rsid w:val="00742154"/>
    <w:rsid w:val="00743682"/>
    <w:rsid w:val="007556E1"/>
    <w:rsid w:val="00770D66"/>
    <w:rsid w:val="00787E69"/>
    <w:rsid w:val="007A02C0"/>
    <w:rsid w:val="007B1CB1"/>
    <w:rsid w:val="007B6397"/>
    <w:rsid w:val="007B65CD"/>
    <w:rsid w:val="007C770C"/>
    <w:rsid w:val="007E082A"/>
    <w:rsid w:val="007E2869"/>
    <w:rsid w:val="007E3B6A"/>
    <w:rsid w:val="007E6187"/>
    <w:rsid w:val="008103CB"/>
    <w:rsid w:val="00813DA2"/>
    <w:rsid w:val="00837D6B"/>
    <w:rsid w:val="00842161"/>
    <w:rsid w:val="00866320"/>
    <w:rsid w:val="00872EA0"/>
    <w:rsid w:val="0089206B"/>
    <w:rsid w:val="00893E76"/>
    <w:rsid w:val="008E7206"/>
    <w:rsid w:val="008F75E7"/>
    <w:rsid w:val="009254D1"/>
    <w:rsid w:val="00925B2D"/>
    <w:rsid w:val="009523C9"/>
    <w:rsid w:val="00960E9E"/>
    <w:rsid w:val="00967B48"/>
    <w:rsid w:val="009723AF"/>
    <w:rsid w:val="009829E6"/>
    <w:rsid w:val="009829F5"/>
    <w:rsid w:val="00987AFB"/>
    <w:rsid w:val="009B5E39"/>
    <w:rsid w:val="009E141A"/>
    <w:rsid w:val="009F68A5"/>
    <w:rsid w:val="00A01C6F"/>
    <w:rsid w:val="00A54F3A"/>
    <w:rsid w:val="00A56571"/>
    <w:rsid w:val="00A60796"/>
    <w:rsid w:val="00A66642"/>
    <w:rsid w:val="00A67D4B"/>
    <w:rsid w:val="00A74143"/>
    <w:rsid w:val="00A82415"/>
    <w:rsid w:val="00A97BCF"/>
    <w:rsid w:val="00AA56F7"/>
    <w:rsid w:val="00AF1ED5"/>
    <w:rsid w:val="00AF235B"/>
    <w:rsid w:val="00B056C0"/>
    <w:rsid w:val="00B221BE"/>
    <w:rsid w:val="00B31697"/>
    <w:rsid w:val="00B31A21"/>
    <w:rsid w:val="00B5686E"/>
    <w:rsid w:val="00B571FA"/>
    <w:rsid w:val="00B61A60"/>
    <w:rsid w:val="00B65A68"/>
    <w:rsid w:val="00B726D8"/>
    <w:rsid w:val="00B82506"/>
    <w:rsid w:val="00BE3A94"/>
    <w:rsid w:val="00BE487B"/>
    <w:rsid w:val="00C122CC"/>
    <w:rsid w:val="00C25162"/>
    <w:rsid w:val="00C34ADA"/>
    <w:rsid w:val="00C36828"/>
    <w:rsid w:val="00C522D1"/>
    <w:rsid w:val="00C5698C"/>
    <w:rsid w:val="00C705D4"/>
    <w:rsid w:val="00C72D71"/>
    <w:rsid w:val="00C86326"/>
    <w:rsid w:val="00CA7194"/>
    <w:rsid w:val="00CB6028"/>
    <w:rsid w:val="00CE7F50"/>
    <w:rsid w:val="00CF21C9"/>
    <w:rsid w:val="00D44089"/>
    <w:rsid w:val="00D5038A"/>
    <w:rsid w:val="00D52116"/>
    <w:rsid w:val="00D7452C"/>
    <w:rsid w:val="00D757B4"/>
    <w:rsid w:val="00D973DB"/>
    <w:rsid w:val="00DA3067"/>
    <w:rsid w:val="00DA6FAE"/>
    <w:rsid w:val="00DB74A2"/>
    <w:rsid w:val="00E13289"/>
    <w:rsid w:val="00E21C6B"/>
    <w:rsid w:val="00E23606"/>
    <w:rsid w:val="00E6433F"/>
    <w:rsid w:val="00E73F95"/>
    <w:rsid w:val="00E773CA"/>
    <w:rsid w:val="00E936EC"/>
    <w:rsid w:val="00EA24B3"/>
    <w:rsid w:val="00EF3597"/>
    <w:rsid w:val="00F100F8"/>
    <w:rsid w:val="00F53110"/>
    <w:rsid w:val="00F540E1"/>
    <w:rsid w:val="00F807B0"/>
    <w:rsid w:val="00F9401E"/>
    <w:rsid w:val="00FA00A2"/>
    <w:rsid w:val="00FA20C1"/>
    <w:rsid w:val="00FD3B59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62C8-62C6-4A67-B254-B554AB5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2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28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556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56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556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6D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1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457"/>
  </w:style>
  <w:style w:type="paragraph" w:styleId="Piedepgina">
    <w:name w:val="footer"/>
    <w:basedOn w:val="Normal"/>
    <w:link w:val="PiedepginaCar"/>
    <w:uiPriority w:val="99"/>
    <w:unhideWhenUsed/>
    <w:rsid w:val="001D1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57"/>
  </w:style>
  <w:style w:type="character" w:customStyle="1" w:styleId="Ttulo1Car">
    <w:name w:val="Título 1 Car"/>
    <w:basedOn w:val="Fuentedeprrafopredeter"/>
    <w:link w:val="Ttulo1"/>
    <w:uiPriority w:val="9"/>
    <w:rsid w:val="00952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A765-9BEB-4F49-9F65-57DC08D5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1675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Adolfo Baraona Valenzuela</dc:creator>
  <cp:keywords/>
  <dc:description/>
  <cp:lastModifiedBy>Maria Paz Borquez Riquelme</cp:lastModifiedBy>
  <cp:revision>3</cp:revision>
  <cp:lastPrinted>2016-06-20T19:58:00Z</cp:lastPrinted>
  <dcterms:created xsi:type="dcterms:W3CDTF">2016-07-06T15:32:00Z</dcterms:created>
  <dcterms:modified xsi:type="dcterms:W3CDTF">2016-07-20T16:52:00Z</dcterms:modified>
</cp:coreProperties>
</file>