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EF" w:rsidRDefault="00B976EF" w:rsidP="00B976EF">
      <w:pPr>
        <w:spacing w:after="160" w:line="259" w:lineRule="auto"/>
        <w:jc w:val="center"/>
        <w:rPr>
          <w:rFonts w:eastAsia="Calibri"/>
          <w:b/>
          <w:bCs/>
          <w:sz w:val="22"/>
          <w:szCs w:val="22"/>
          <w:lang w:val="es-CL" w:eastAsia="en-US"/>
        </w:rPr>
      </w:pPr>
      <w:r w:rsidRPr="00B976EF">
        <w:rPr>
          <w:rFonts w:eastAsia="Calibri"/>
          <w:b/>
          <w:bCs/>
          <w:sz w:val="22"/>
          <w:szCs w:val="22"/>
          <w:lang w:val="es-CL" w:eastAsia="en-US"/>
        </w:rPr>
        <w:t xml:space="preserve">RENTA – ACTUAL LEY SOBRE IMPUESTO A LA – </w:t>
      </w:r>
      <w:r>
        <w:rPr>
          <w:rFonts w:eastAsia="Calibri"/>
          <w:b/>
          <w:bCs/>
          <w:sz w:val="22"/>
          <w:szCs w:val="22"/>
          <w:lang w:val="es-CL" w:eastAsia="en-US"/>
        </w:rPr>
        <w:t xml:space="preserve">Art. 14, </w:t>
      </w:r>
      <w:r w:rsidRPr="00B976EF">
        <w:rPr>
          <w:rFonts w:eastAsia="Calibri"/>
          <w:b/>
          <w:bCs/>
          <w:sz w:val="22"/>
          <w:szCs w:val="22"/>
          <w:lang w:val="es-CL" w:eastAsia="en-US"/>
        </w:rPr>
        <w:t>ART. 56, N°</w:t>
      </w:r>
      <w:r>
        <w:rPr>
          <w:rFonts w:eastAsia="Calibri"/>
          <w:b/>
          <w:bCs/>
          <w:sz w:val="22"/>
          <w:szCs w:val="22"/>
          <w:lang w:val="es-CL" w:eastAsia="en-US"/>
        </w:rPr>
        <w:t>3</w:t>
      </w:r>
      <w:r w:rsidRPr="00B976EF">
        <w:rPr>
          <w:rFonts w:eastAsia="Calibri"/>
          <w:b/>
          <w:bCs/>
          <w:sz w:val="22"/>
          <w:szCs w:val="22"/>
          <w:lang w:val="es-CL" w:eastAsia="en-US"/>
        </w:rPr>
        <w:t xml:space="preserve"> – LEY N° 18.401, ART. 11. (OFICIO RESERVADO N° 59, DE 07.12.2018)</w:t>
      </w:r>
    </w:p>
    <w:p w:rsidR="00B976EF" w:rsidRDefault="00B976EF" w:rsidP="00B976EF">
      <w:pPr>
        <w:spacing w:after="160" w:line="259" w:lineRule="auto"/>
        <w:jc w:val="center"/>
        <w:rPr>
          <w:b/>
          <w:bCs/>
          <w:sz w:val="22"/>
          <w:szCs w:val="22"/>
        </w:rPr>
      </w:pP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r>
        <w:rPr>
          <w:rFonts w:eastAsia="Calibri"/>
          <w:b/>
          <w:bCs/>
          <w:sz w:val="22"/>
          <w:szCs w:val="22"/>
          <w:u w:val="single"/>
          <w:lang w:val="es-CL" w:eastAsia="en-US"/>
        </w:rPr>
        <w:tab/>
      </w:r>
    </w:p>
    <w:p w:rsidR="00DF394C" w:rsidRPr="0010460E" w:rsidRDefault="003F557F" w:rsidP="00274B31">
      <w:pPr>
        <w:ind w:right="-22"/>
        <w:jc w:val="both"/>
        <w:rPr>
          <w:b/>
          <w:bCs/>
          <w:sz w:val="22"/>
          <w:szCs w:val="22"/>
        </w:rPr>
      </w:pPr>
      <w:bookmarkStart w:id="0" w:name="_GoBack"/>
      <w:r w:rsidRPr="0010460E">
        <w:rPr>
          <w:b/>
          <w:bCs/>
          <w:sz w:val="22"/>
          <w:szCs w:val="22"/>
        </w:rPr>
        <w:t xml:space="preserve">Dividendos exentos de </w:t>
      </w:r>
      <w:r w:rsidR="003401B3" w:rsidRPr="0010460E">
        <w:rPr>
          <w:b/>
          <w:bCs/>
          <w:sz w:val="22"/>
          <w:szCs w:val="22"/>
        </w:rPr>
        <w:t>I</w:t>
      </w:r>
      <w:r w:rsidRPr="0010460E">
        <w:rPr>
          <w:b/>
          <w:bCs/>
          <w:sz w:val="22"/>
          <w:szCs w:val="22"/>
        </w:rPr>
        <w:t xml:space="preserve">mpuesto Global Complementario con derecho a crédito por </w:t>
      </w:r>
      <w:r w:rsidR="003401B3" w:rsidRPr="0010460E">
        <w:rPr>
          <w:b/>
          <w:bCs/>
          <w:sz w:val="22"/>
          <w:szCs w:val="22"/>
        </w:rPr>
        <w:t>I</w:t>
      </w:r>
      <w:r w:rsidRPr="0010460E">
        <w:rPr>
          <w:b/>
          <w:bCs/>
          <w:sz w:val="22"/>
          <w:szCs w:val="22"/>
        </w:rPr>
        <w:t>mpuesto de Primera Categoría</w:t>
      </w:r>
      <w:r w:rsidR="001874DA" w:rsidRPr="0010460E">
        <w:rPr>
          <w:b/>
          <w:bCs/>
          <w:sz w:val="22"/>
          <w:szCs w:val="22"/>
        </w:rPr>
        <w:t>, del artículo 11 de la Ley N° 18.401.</w:t>
      </w:r>
    </w:p>
    <w:p w:rsidR="0015744D" w:rsidRPr="0010460E" w:rsidRDefault="0015744D" w:rsidP="00274B31">
      <w:pPr>
        <w:spacing w:after="240"/>
        <w:ind w:right="-22"/>
        <w:contextualSpacing/>
        <w:jc w:val="both"/>
        <w:rPr>
          <w:b/>
          <w:bCs/>
          <w:sz w:val="22"/>
          <w:szCs w:val="22"/>
        </w:rPr>
      </w:pPr>
    </w:p>
    <w:p w:rsidR="00CF6C02" w:rsidRPr="0010460E" w:rsidRDefault="00DF394C" w:rsidP="00274B31">
      <w:pPr>
        <w:tabs>
          <w:tab w:val="left" w:pos="567"/>
        </w:tabs>
        <w:spacing w:after="240"/>
        <w:ind w:right="-22"/>
        <w:contextualSpacing/>
        <w:jc w:val="both"/>
        <w:rPr>
          <w:sz w:val="22"/>
          <w:szCs w:val="22"/>
        </w:rPr>
      </w:pPr>
      <w:r w:rsidRPr="0010460E">
        <w:rPr>
          <w:sz w:val="22"/>
          <w:szCs w:val="22"/>
        </w:rPr>
        <w:t xml:space="preserve">Mediante documento señalado en el </w:t>
      </w:r>
      <w:r w:rsidR="00FE789C" w:rsidRPr="0010460E">
        <w:rPr>
          <w:sz w:val="22"/>
          <w:szCs w:val="22"/>
        </w:rPr>
        <w:t>a</w:t>
      </w:r>
      <w:r w:rsidRPr="0010460E">
        <w:rPr>
          <w:sz w:val="22"/>
          <w:szCs w:val="22"/>
        </w:rPr>
        <w:t xml:space="preserve">ntecedente, </w:t>
      </w:r>
      <w:r w:rsidR="0008680A" w:rsidRPr="0010460E">
        <w:rPr>
          <w:sz w:val="22"/>
          <w:szCs w:val="22"/>
        </w:rPr>
        <w:t>XXXXXXX</w:t>
      </w:r>
      <w:r w:rsidR="00194A9B" w:rsidRPr="0010460E">
        <w:rPr>
          <w:sz w:val="22"/>
          <w:szCs w:val="22"/>
        </w:rPr>
        <w:t xml:space="preserve"> </w:t>
      </w:r>
      <w:r w:rsidR="003F557F" w:rsidRPr="0010460E">
        <w:rPr>
          <w:sz w:val="22"/>
          <w:szCs w:val="22"/>
        </w:rPr>
        <w:t xml:space="preserve">consulta sobre el tratamiento tributario de los dividendos exentos del </w:t>
      </w:r>
      <w:r w:rsidR="003401B3" w:rsidRPr="0010460E">
        <w:rPr>
          <w:sz w:val="22"/>
          <w:szCs w:val="22"/>
        </w:rPr>
        <w:t>I</w:t>
      </w:r>
      <w:r w:rsidR="003F557F" w:rsidRPr="0010460E">
        <w:rPr>
          <w:sz w:val="22"/>
          <w:szCs w:val="22"/>
        </w:rPr>
        <w:t xml:space="preserve">mpuesto Global Complementario con </w:t>
      </w:r>
      <w:r w:rsidR="009C78A7" w:rsidRPr="0010460E">
        <w:rPr>
          <w:sz w:val="22"/>
          <w:szCs w:val="22"/>
        </w:rPr>
        <w:t xml:space="preserve">derecho a </w:t>
      </w:r>
      <w:r w:rsidR="003F557F" w:rsidRPr="0010460E">
        <w:rPr>
          <w:sz w:val="22"/>
          <w:szCs w:val="22"/>
        </w:rPr>
        <w:t xml:space="preserve">crédito por </w:t>
      </w:r>
      <w:r w:rsidR="003401B3" w:rsidRPr="0010460E">
        <w:rPr>
          <w:sz w:val="22"/>
          <w:szCs w:val="22"/>
        </w:rPr>
        <w:t>I</w:t>
      </w:r>
      <w:r w:rsidR="003F557F" w:rsidRPr="0010460E">
        <w:rPr>
          <w:sz w:val="22"/>
          <w:szCs w:val="22"/>
        </w:rPr>
        <w:t xml:space="preserve">mpuesto de Primera Categoría de acuerdo al </w:t>
      </w:r>
      <w:r w:rsidR="00864CC4" w:rsidRPr="0010460E">
        <w:rPr>
          <w:sz w:val="22"/>
          <w:szCs w:val="22"/>
        </w:rPr>
        <w:t>artículo 11 de la Ley N° 18.</w:t>
      </w:r>
      <w:r w:rsidR="003F557F" w:rsidRPr="0010460E">
        <w:rPr>
          <w:sz w:val="22"/>
          <w:szCs w:val="22"/>
        </w:rPr>
        <w:t>4</w:t>
      </w:r>
      <w:r w:rsidR="00864CC4" w:rsidRPr="0010460E">
        <w:rPr>
          <w:sz w:val="22"/>
          <w:szCs w:val="22"/>
        </w:rPr>
        <w:t>0</w:t>
      </w:r>
      <w:r w:rsidR="003F557F" w:rsidRPr="0010460E">
        <w:rPr>
          <w:sz w:val="22"/>
          <w:szCs w:val="22"/>
        </w:rPr>
        <w:t>1, frente a la reforma tributaria de la Ley N° 20.780 de 2014</w:t>
      </w:r>
      <w:r w:rsidR="00C4583B" w:rsidRPr="0010460E">
        <w:rPr>
          <w:sz w:val="22"/>
          <w:szCs w:val="22"/>
        </w:rPr>
        <w:t>, en los casos que se indican</w:t>
      </w:r>
      <w:r w:rsidR="003F557F" w:rsidRPr="0010460E">
        <w:rPr>
          <w:sz w:val="22"/>
          <w:szCs w:val="22"/>
        </w:rPr>
        <w:t>:</w:t>
      </w:r>
    </w:p>
    <w:p w:rsidR="009C78A7" w:rsidRPr="0010460E" w:rsidRDefault="009C78A7" w:rsidP="00274B31">
      <w:pPr>
        <w:pStyle w:val="Prrafodelista"/>
        <w:numPr>
          <w:ilvl w:val="0"/>
          <w:numId w:val="22"/>
        </w:numPr>
        <w:tabs>
          <w:tab w:val="left" w:pos="284"/>
        </w:tabs>
        <w:spacing w:after="240"/>
        <w:ind w:left="709" w:right="-22"/>
        <w:jc w:val="both"/>
        <w:rPr>
          <w:b/>
          <w:sz w:val="22"/>
          <w:szCs w:val="22"/>
        </w:rPr>
      </w:pPr>
      <w:r w:rsidRPr="0010460E">
        <w:rPr>
          <w:b/>
          <w:sz w:val="22"/>
          <w:szCs w:val="22"/>
        </w:rPr>
        <w:t>ANTECEDENTES:</w:t>
      </w:r>
    </w:p>
    <w:p w:rsidR="009C78A7" w:rsidRPr="0010460E" w:rsidRDefault="009C78A7" w:rsidP="00274B31">
      <w:pPr>
        <w:pStyle w:val="Prrafodelista"/>
        <w:tabs>
          <w:tab w:val="left" w:pos="567"/>
        </w:tabs>
        <w:spacing w:after="240"/>
        <w:ind w:left="1080" w:right="-22"/>
        <w:jc w:val="both"/>
        <w:rPr>
          <w:sz w:val="22"/>
          <w:szCs w:val="22"/>
        </w:rPr>
      </w:pPr>
    </w:p>
    <w:p w:rsidR="00F8266C" w:rsidRPr="0010460E" w:rsidRDefault="003F557F" w:rsidP="00274B31">
      <w:pPr>
        <w:pStyle w:val="Prrafodelista"/>
        <w:spacing w:after="240"/>
        <w:ind w:left="0" w:right="-22"/>
        <w:jc w:val="both"/>
        <w:rPr>
          <w:sz w:val="22"/>
          <w:szCs w:val="22"/>
        </w:rPr>
      </w:pPr>
      <w:r w:rsidRPr="0010460E">
        <w:rPr>
          <w:sz w:val="22"/>
          <w:szCs w:val="22"/>
        </w:rPr>
        <w:t>Señala</w:t>
      </w:r>
      <w:r w:rsidR="00F8266C" w:rsidRPr="0010460E">
        <w:rPr>
          <w:sz w:val="22"/>
          <w:szCs w:val="22"/>
        </w:rPr>
        <w:t>,</w:t>
      </w:r>
      <w:r w:rsidRPr="0010460E">
        <w:rPr>
          <w:sz w:val="22"/>
          <w:szCs w:val="22"/>
        </w:rPr>
        <w:t xml:space="preserve"> que</w:t>
      </w:r>
      <w:r w:rsidR="00F8266C" w:rsidRPr="0010460E">
        <w:rPr>
          <w:sz w:val="22"/>
          <w:szCs w:val="22"/>
        </w:rPr>
        <w:t xml:space="preserve"> según lo establecido en el inciso segundo del N° 3, de la letra B), del artículo 14 de la LIR, el crédito a que tendrán derecho los retiros, remesas o distribuciones que resulten imputados a rentas o cant</w:t>
      </w:r>
      <w:r w:rsidR="003401B3" w:rsidRPr="0010460E">
        <w:rPr>
          <w:sz w:val="22"/>
          <w:szCs w:val="22"/>
        </w:rPr>
        <w:t>idades afectas a los I</w:t>
      </w:r>
      <w:r w:rsidR="007D7AC7" w:rsidRPr="0010460E">
        <w:rPr>
          <w:sz w:val="22"/>
          <w:szCs w:val="22"/>
        </w:rPr>
        <w:t>mpuestos G</w:t>
      </w:r>
      <w:r w:rsidR="00F8266C" w:rsidRPr="0010460E">
        <w:rPr>
          <w:sz w:val="22"/>
          <w:szCs w:val="22"/>
        </w:rPr>
        <w:t xml:space="preserve">lobal </w:t>
      </w:r>
      <w:r w:rsidR="007D7AC7" w:rsidRPr="0010460E">
        <w:rPr>
          <w:sz w:val="22"/>
          <w:szCs w:val="22"/>
        </w:rPr>
        <w:t>C</w:t>
      </w:r>
      <w:r w:rsidR="00F8266C" w:rsidRPr="0010460E">
        <w:rPr>
          <w:sz w:val="22"/>
          <w:szCs w:val="22"/>
        </w:rPr>
        <w:t xml:space="preserve">omplementario o </w:t>
      </w:r>
      <w:r w:rsidR="003401B3" w:rsidRPr="0010460E">
        <w:rPr>
          <w:sz w:val="22"/>
          <w:szCs w:val="22"/>
        </w:rPr>
        <w:t>A</w:t>
      </w:r>
      <w:r w:rsidR="00F8266C" w:rsidRPr="0010460E">
        <w:rPr>
          <w:sz w:val="22"/>
          <w:szCs w:val="22"/>
        </w:rPr>
        <w:t>dicional, o que no resulten imputados a ninguno de los registros señalados en el N° 2 de la misma letra, corresponderá al que se determine aplicando sobre éstos la tasa de crédito calculada al inicio del ejercicio, con tope del saldo acumulado de crédito que se mantenga en el registro correspondiente.</w:t>
      </w:r>
    </w:p>
    <w:p w:rsidR="00F8266C" w:rsidRPr="0010460E" w:rsidRDefault="00F8266C" w:rsidP="00274B31">
      <w:pPr>
        <w:tabs>
          <w:tab w:val="left" w:pos="567"/>
        </w:tabs>
        <w:spacing w:after="240"/>
        <w:ind w:right="-22"/>
        <w:contextualSpacing/>
        <w:jc w:val="both"/>
        <w:rPr>
          <w:sz w:val="22"/>
          <w:szCs w:val="22"/>
        </w:rPr>
      </w:pPr>
      <w:r w:rsidRPr="0010460E">
        <w:rPr>
          <w:sz w:val="22"/>
          <w:szCs w:val="22"/>
        </w:rPr>
        <w:t>Agrega, que el artículo 11 de la Ley N°18.401 de 1985, estableció que los contribuyentes que adquieran acciones preferidas que emita alguna de las instituciones financieras que hayan sido requeridas por el Superintendente de Bancos e Instituciones Financieras en conformidad al artículo 2° y que, según el acuerdo respectivo, no puedan recibir un dividendo superior a un 30% de la cantidad que resulte de aplicar el inciso tercero del ar</w:t>
      </w:r>
      <w:r w:rsidR="003401B3" w:rsidRPr="0010460E">
        <w:rPr>
          <w:sz w:val="22"/>
          <w:szCs w:val="22"/>
        </w:rPr>
        <w:t>tículo 10, estarán exentos del I</w:t>
      </w:r>
      <w:r w:rsidRPr="0010460E">
        <w:rPr>
          <w:sz w:val="22"/>
          <w:szCs w:val="22"/>
        </w:rPr>
        <w:t xml:space="preserve">mpuesto </w:t>
      </w:r>
      <w:r w:rsidR="007D7AC7" w:rsidRPr="0010460E">
        <w:rPr>
          <w:sz w:val="22"/>
          <w:szCs w:val="22"/>
        </w:rPr>
        <w:t>G</w:t>
      </w:r>
      <w:r w:rsidRPr="0010460E">
        <w:rPr>
          <w:sz w:val="22"/>
          <w:szCs w:val="22"/>
        </w:rPr>
        <w:t xml:space="preserve">lobal </w:t>
      </w:r>
      <w:r w:rsidR="007D7AC7" w:rsidRPr="0010460E">
        <w:rPr>
          <w:sz w:val="22"/>
          <w:szCs w:val="22"/>
        </w:rPr>
        <w:t>C</w:t>
      </w:r>
      <w:r w:rsidRPr="0010460E">
        <w:rPr>
          <w:sz w:val="22"/>
          <w:szCs w:val="22"/>
        </w:rPr>
        <w:t xml:space="preserve">omplementario de la Ley sobre Impuesto a la Renta por los dividendos que perciban, sin perjuicio del derecho a los créditos contemplados en su artículo 56, N° 3, y en el artículo 3° transitorio de la </w:t>
      </w:r>
      <w:r w:rsidR="00AE49B1" w:rsidRPr="0010460E">
        <w:rPr>
          <w:sz w:val="22"/>
          <w:szCs w:val="22"/>
        </w:rPr>
        <w:t>L</w:t>
      </w:r>
      <w:r w:rsidRPr="0010460E">
        <w:rPr>
          <w:sz w:val="22"/>
          <w:szCs w:val="22"/>
        </w:rPr>
        <w:t xml:space="preserve">ey </w:t>
      </w:r>
      <w:r w:rsidR="00AE49B1" w:rsidRPr="0010460E">
        <w:rPr>
          <w:sz w:val="22"/>
          <w:szCs w:val="22"/>
        </w:rPr>
        <w:t xml:space="preserve">N° </w:t>
      </w:r>
      <w:r w:rsidRPr="0010460E">
        <w:rPr>
          <w:sz w:val="22"/>
          <w:szCs w:val="22"/>
        </w:rPr>
        <w:t>18.293, según proceda.</w:t>
      </w:r>
    </w:p>
    <w:p w:rsidR="00F8266C" w:rsidRPr="0010460E" w:rsidRDefault="00F8266C" w:rsidP="00274B31">
      <w:pPr>
        <w:tabs>
          <w:tab w:val="left" w:pos="567"/>
        </w:tabs>
        <w:spacing w:after="240"/>
        <w:ind w:right="-22"/>
        <w:contextualSpacing/>
        <w:jc w:val="both"/>
        <w:rPr>
          <w:sz w:val="22"/>
          <w:szCs w:val="22"/>
        </w:rPr>
      </w:pPr>
    </w:p>
    <w:p w:rsidR="00F8266C" w:rsidRPr="0010460E" w:rsidRDefault="00F8266C" w:rsidP="00274B31">
      <w:pPr>
        <w:tabs>
          <w:tab w:val="left" w:pos="567"/>
        </w:tabs>
        <w:spacing w:after="240"/>
        <w:ind w:right="-22"/>
        <w:contextualSpacing/>
        <w:jc w:val="both"/>
        <w:rPr>
          <w:sz w:val="22"/>
          <w:szCs w:val="22"/>
        </w:rPr>
      </w:pPr>
      <w:r w:rsidRPr="0010460E">
        <w:rPr>
          <w:sz w:val="22"/>
          <w:szCs w:val="22"/>
        </w:rPr>
        <w:t>Al respecto, se solicita confirmar:</w:t>
      </w:r>
    </w:p>
    <w:p w:rsidR="00F8266C" w:rsidRPr="0010460E" w:rsidRDefault="00F8266C" w:rsidP="00274B31">
      <w:pPr>
        <w:pStyle w:val="Prrafodelista"/>
        <w:numPr>
          <w:ilvl w:val="0"/>
          <w:numId w:val="25"/>
        </w:numPr>
        <w:spacing w:after="240"/>
        <w:ind w:left="426" w:right="-22" w:hanging="426"/>
        <w:jc w:val="both"/>
        <w:rPr>
          <w:sz w:val="22"/>
          <w:szCs w:val="22"/>
        </w:rPr>
      </w:pPr>
      <w:r w:rsidRPr="0010460E">
        <w:rPr>
          <w:sz w:val="22"/>
          <w:szCs w:val="22"/>
          <w:u w:val="single"/>
        </w:rPr>
        <w:t>Contribuyente pagador del Dividendo</w:t>
      </w:r>
      <w:r w:rsidRPr="0010460E">
        <w:rPr>
          <w:sz w:val="22"/>
          <w:szCs w:val="22"/>
        </w:rPr>
        <w:t>: Que cuando el contribuyente, institución financiera, que cumple con los requisitos establecidos en</w:t>
      </w:r>
      <w:r w:rsidR="00864CC4" w:rsidRPr="0010460E">
        <w:rPr>
          <w:sz w:val="22"/>
          <w:szCs w:val="22"/>
        </w:rPr>
        <w:t xml:space="preserve"> el artículo 11 de la Ley N°18.</w:t>
      </w:r>
      <w:r w:rsidRPr="0010460E">
        <w:rPr>
          <w:sz w:val="22"/>
          <w:szCs w:val="22"/>
        </w:rPr>
        <w:t>4</w:t>
      </w:r>
      <w:r w:rsidR="00864CC4" w:rsidRPr="0010460E">
        <w:rPr>
          <w:sz w:val="22"/>
          <w:szCs w:val="22"/>
        </w:rPr>
        <w:t>0</w:t>
      </w:r>
      <w:r w:rsidRPr="0010460E">
        <w:rPr>
          <w:sz w:val="22"/>
          <w:szCs w:val="22"/>
        </w:rPr>
        <w:t>1 efectúe el pago del dividendo, dichos dividendos exentos del IGC tendrán derecho al crédito establecido en el artículo 56, N°3 de la LIR para el inversionista receptor de dicha renta.</w:t>
      </w:r>
    </w:p>
    <w:p w:rsidR="00FD2E3C" w:rsidRPr="0010460E" w:rsidRDefault="00FD2E3C" w:rsidP="00274B31">
      <w:pPr>
        <w:pStyle w:val="Prrafodelista"/>
        <w:spacing w:after="240"/>
        <w:ind w:left="426" w:right="-22" w:hanging="426"/>
        <w:jc w:val="both"/>
        <w:rPr>
          <w:sz w:val="22"/>
          <w:szCs w:val="22"/>
        </w:rPr>
      </w:pPr>
    </w:p>
    <w:p w:rsidR="00F8266C" w:rsidRPr="0010460E" w:rsidRDefault="00F8266C" w:rsidP="00274B31">
      <w:pPr>
        <w:pStyle w:val="Prrafodelista"/>
        <w:numPr>
          <w:ilvl w:val="0"/>
          <w:numId w:val="25"/>
        </w:numPr>
        <w:spacing w:after="240"/>
        <w:ind w:left="426" w:right="-22" w:hanging="426"/>
        <w:jc w:val="both"/>
        <w:rPr>
          <w:sz w:val="22"/>
          <w:szCs w:val="22"/>
        </w:rPr>
      </w:pPr>
      <w:r w:rsidRPr="0010460E">
        <w:rPr>
          <w:sz w:val="22"/>
          <w:szCs w:val="22"/>
          <w:u w:val="single"/>
        </w:rPr>
        <w:t xml:space="preserve">Contribuyente sujeto al </w:t>
      </w:r>
      <w:r w:rsidR="001265EA" w:rsidRPr="0010460E">
        <w:rPr>
          <w:sz w:val="22"/>
          <w:szCs w:val="22"/>
          <w:u w:val="single"/>
        </w:rPr>
        <w:t>a</w:t>
      </w:r>
      <w:r w:rsidRPr="0010460E">
        <w:rPr>
          <w:sz w:val="22"/>
          <w:szCs w:val="22"/>
          <w:u w:val="single"/>
        </w:rPr>
        <w:t xml:space="preserve">rtículo 14 </w:t>
      </w:r>
      <w:r w:rsidR="002C3726" w:rsidRPr="0010460E">
        <w:rPr>
          <w:sz w:val="22"/>
          <w:szCs w:val="22"/>
          <w:u w:val="single"/>
        </w:rPr>
        <w:t xml:space="preserve">letra </w:t>
      </w:r>
      <w:r w:rsidRPr="0010460E">
        <w:rPr>
          <w:sz w:val="22"/>
          <w:szCs w:val="22"/>
          <w:u w:val="single"/>
        </w:rPr>
        <w:t>A) de la LIR</w:t>
      </w:r>
      <w:r w:rsidRPr="0010460E">
        <w:rPr>
          <w:sz w:val="22"/>
          <w:szCs w:val="22"/>
        </w:rPr>
        <w:t xml:space="preserve">: Que cuando el receptor del dividendo sea un contribuyente sujeto a las normas establecidas en el artículo 14 </w:t>
      </w:r>
      <w:r w:rsidR="001265EA" w:rsidRPr="0010460E">
        <w:rPr>
          <w:sz w:val="22"/>
          <w:szCs w:val="22"/>
        </w:rPr>
        <w:t xml:space="preserve">letra </w:t>
      </w:r>
      <w:r w:rsidRPr="0010460E">
        <w:rPr>
          <w:sz w:val="22"/>
          <w:szCs w:val="22"/>
        </w:rPr>
        <w:t xml:space="preserve">A) de la LIR, dicha renta debe ser </w:t>
      </w:r>
      <w:r w:rsidR="00550320" w:rsidRPr="0010460E">
        <w:rPr>
          <w:sz w:val="22"/>
          <w:szCs w:val="22"/>
        </w:rPr>
        <w:t>anotada</w:t>
      </w:r>
      <w:r w:rsidRPr="0010460E">
        <w:rPr>
          <w:sz w:val="22"/>
          <w:szCs w:val="22"/>
        </w:rPr>
        <w:t xml:space="preserve"> en </w:t>
      </w:r>
      <w:r w:rsidR="0084112A" w:rsidRPr="0010460E">
        <w:rPr>
          <w:sz w:val="22"/>
          <w:szCs w:val="22"/>
        </w:rPr>
        <w:t>el</w:t>
      </w:r>
      <w:r w:rsidRPr="0010460E">
        <w:rPr>
          <w:sz w:val="22"/>
          <w:szCs w:val="22"/>
        </w:rPr>
        <w:t xml:space="preserve"> registro establecido en la letra c), del N°</w:t>
      </w:r>
      <w:r w:rsidR="00B74298" w:rsidRPr="0010460E">
        <w:rPr>
          <w:sz w:val="22"/>
          <w:szCs w:val="22"/>
        </w:rPr>
        <w:t xml:space="preserve"> </w:t>
      </w:r>
      <w:r w:rsidRPr="0010460E">
        <w:rPr>
          <w:sz w:val="22"/>
          <w:szCs w:val="22"/>
        </w:rPr>
        <w:t>4</w:t>
      </w:r>
      <w:r w:rsidR="003401B3" w:rsidRPr="0010460E">
        <w:rPr>
          <w:sz w:val="22"/>
          <w:szCs w:val="22"/>
        </w:rPr>
        <w:t xml:space="preserve"> de la letra A)</w:t>
      </w:r>
      <w:r w:rsidRPr="0010460E">
        <w:rPr>
          <w:sz w:val="22"/>
          <w:szCs w:val="22"/>
        </w:rPr>
        <w:t xml:space="preserve"> de dicho artículo, esto es, en el </w:t>
      </w:r>
      <w:r w:rsidR="001265EA" w:rsidRPr="0010460E">
        <w:rPr>
          <w:sz w:val="22"/>
          <w:szCs w:val="22"/>
        </w:rPr>
        <w:t>r</w:t>
      </w:r>
      <w:r w:rsidRPr="0010460E">
        <w:rPr>
          <w:sz w:val="22"/>
          <w:szCs w:val="22"/>
        </w:rPr>
        <w:t>egistro denominado “Rentas exentas e ingresos no constitutivos de renta”</w:t>
      </w:r>
      <w:r w:rsidR="005E18E3" w:rsidRPr="0010460E">
        <w:rPr>
          <w:sz w:val="22"/>
          <w:szCs w:val="22"/>
        </w:rPr>
        <w:t>,</w:t>
      </w:r>
      <w:r w:rsidRPr="0010460E">
        <w:rPr>
          <w:sz w:val="22"/>
          <w:szCs w:val="22"/>
        </w:rPr>
        <w:t xml:space="preserve"> </w:t>
      </w:r>
      <w:r w:rsidR="005E18E3" w:rsidRPr="0010460E">
        <w:rPr>
          <w:sz w:val="22"/>
          <w:szCs w:val="22"/>
        </w:rPr>
        <w:t>y su</w:t>
      </w:r>
      <w:r w:rsidRPr="0010460E">
        <w:rPr>
          <w:sz w:val="22"/>
          <w:szCs w:val="22"/>
        </w:rPr>
        <w:t xml:space="preserve"> crédito deberá ser </w:t>
      </w:r>
      <w:r w:rsidR="001265EA" w:rsidRPr="0010460E">
        <w:rPr>
          <w:sz w:val="22"/>
          <w:szCs w:val="22"/>
        </w:rPr>
        <w:t>anotado</w:t>
      </w:r>
      <w:r w:rsidRPr="0010460E">
        <w:rPr>
          <w:sz w:val="22"/>
          <w:szCs w:val="22"/>
        </w:rPr>
        <w:t xml:space="preserve"> en el registro establecido en la letra d), del N°</w:t>
      </w:r>
      <w:r w:rsidR="005C1B35" w:rsidRPr="0010460E">
        <w:rPr>
          <w:sz w:val="22"/>
          <w:szCs w:val="22"/>
        </w:rPr>
        <w:t xml:space="preserve"> </w:t>
      </w:r>
      <w:r w:rsidRPr="0010460E">
        <w:rPr>
          <w:sz w:val="22"/>
          <w:szCs w:val="22"/>
        </w:rPr>
        <w:t xml:space="preserve">4 </w:t>
      </w:r>
      <w:r w:rsidR="003401B3" w:rsidRPr="0010460E">
        <w:rPr>
          <w:sz w:val="22"/>
          <w:szCs w:val="22"/>
        </w:rPr>
        <w:t xml:space="preserve">de la letra A) </w:t>
      </w:r>
      <w:r w:rsidRPr="0010460E">
        <w:rPr>
          <w:sz w:val="22"/>
          <w:szCs w:val="22"/>
        </w:rPr>
        <w:t xml:space="preserve">de dicho artículo, vale decir, en el </w:t>
      </w:r>
      <w:r w:rsidR="001265EA" w:rsidRPr="0010460E">
        <w:rPr>
          <w:sz w:val="22"/>
          <w:szCs w:val="22"/>
        </w:rPr>
        <w:t>r</w:t>
      </w:r>
      <w:r w:rsidRPr="0010460E">
        <w:rPr>
          <w:sz w:val="22"/>
          <w:szCs w:val="22"/>
        </w:rPr>
        <w:t>egistro denominado “Saldo acumulado de crédito”.</w:t>
      </w:r>
    </w:p>
    <w:p w:rsidR="00F8266C" w:rsidRPr="0010460E" w:rsidRDefault="00F8266C" w:rsidP="00274B31">
      <w:pPr>
        <w:tabs>
          <w:tab w:val="left" w:pos="567"/>
        </w:tabs>
        <w:spacing w:after="240"/>
        <w:ind w:left="426" w:right="-22"/>
        <w:contextualSpacing/>
        <w:jc w:val="both"/>
        <w:rPr>
          <w:sz w:val="22"/>
          <w:szCs w:val="22"/>
        </w:rPr>
      </w:pPr>
      <w:r w:rsidRPr="0010460E">
        <w:rPr>
          <w:sz w:val="22"/>
          <w:szCs w:val="22"/>
        </w:rPr>
        <w:t>Para la asignación de</w:t>
      </w:r>
      <w:r w:rsidR="00DE690E" w:rsidRPr="0010460E">
        <w:rPr>
          <w:sz w:val="22"/>
          <w:szCs w:val="22"/>
        </w:rPr>
        <w:t>l</w:t>
      </w:r>
      <w:r w:rsidRPr="0010460E">
        <w:rPr>
          <w:sz w:val="22"/>
          <w:szCs w:val="22"/>
        </w:rPr>
        <w:t xml:space="preserve"> crédito se deberá proceder conforme a lo establecido en el N° 5 de la letra A) del artículo 14 de la LIR, en concordancia con lo establecido en el inciso segundo del numeral i), de la letra c), del N° 1, del numeral I</w:t>
      </w:r>
      <w:r w:rsidR="002F5B41" w:rsidRPr="0010460E">
        <w:rPr>
          <w:sz w:val="22"/>
          <w:szCs w:val="22"/>
        </w:rPr>
        <w:t>.-</w:t>
      </w:r>
      <w:r w:rsidRPr="0010460E">
        <w:rPr>
          <w:sz w:val="22"/>
          <w:szCs w:val="22"/>
        </w:rPr>
        <w:t xml:space="preserve"> del artículo tercero transitorio de la Ley N° 20.780 de 2014, modificada por la Ley N° 20.899 de 2016</w:t>
      </w:r>
      <w:r w:rsidR="00514F7E" w:rsidRPr="0010460E">
        <w:rPr>
          <w:sz w:val="22"/>
          <w:szCs w:val="22"/>
        </w:rPr>
        <w:t>. E</w:t>
      </w:r>
      <w:r w:rsidRPr="0010460E">
        <w:rPr>
          <w:sz w:val="22"/>
          <w:szCs w:val="22"/>
        </w:rPr>
        <w:t>s decir, dicho crédito se asignará en la medida que los retiros, remesas o distribuciones resulten imputados al registro DDAN o no resulten imputados a ningún registro.</w:t>
      </w:r>
    </w:p>
    <w:p w:rsidR="00F8266C" w:rsidRPr="0010460E" w:rsidRDefault="00F8266C" w:rsidP="00274B31">
      <w:pPr>
        <w:pStyle w:val="Prrafodelista"/>
        <w:numPr>
          <w:ilvl w:val="0"/>
          <w:numId w:val="25"/>
        </w:numPr>
        <w:spacing w:after="240"/>
        <w:ind w:left="426" w:right="-22"/>
        <w:jc w:val="both"/>
        <w:rPr>
          <w:sz w:val="22"/>
          <w:szCs w:val="22"/>
        </w:rPr>
      </w:pPr>
      <w:r w:rsidRPr="0010460E">
        <w:rPr>
          <w:sz w:val="22"/>
          <w:szCs w:val="22"/>
          <w:u w:val="single"/>
        </w:rPr>
        <w:t xml:space="preserve">Contribuyente sujeto al </w:t>
      </w:r>
      <w:r w:rsidR="002C3726" w:rsidRPr="0010460E">
        <w:rPr>
          <w:sz w:val="22"/>
          <w:szCs w:val="22"/>
          <w:u w:val="single"/>
        </w:rPr>
        <w:t>a</w:t>
      </w:r>
      <w:r w:rsidRPr="0010460E">
        <w:rPr>
          <w:sz w:val="22"/>
          <w:szCs w:val="22"/>
          <w:u w:val="single"/>
        </w:rPr>
        <w:t xml:space="preserve">rtículo 14 </w:t>
      </w:r>
      <w:r w:rsidR="002C3726" w:rsidRPr="0010460E">
        <w:rPr>
          <w:sz w:val="22"/>
          <w:szCs w:val="22"/>
          <w:u w:val="single"/>
        </w:rPr>
        <w:t xml:space="preserve">letra </w:t>
      </w:r>
      <w:r w:rsidRPr="0010460E">
        <w:rPr>
          <w:sz w:val="22"/>
          <w:szCs w:val="22"/>
          <w:u w:val="single"/>
        </w:rPr>
        <w:t>B) de la LIR</w:t>
      </w:r>
      <w:r w:rsidRPr="0010460E">
        <w:rPr>
          <w:sz w:val="22"/>
          <w:szCs w:val="22"/>
        </w:rPr>
        <w:t>: Que cuando el receptor del dividendo sea un contribuyente sujeto a las normas establecidas en el artículo 14</w:t>
      </w:r>
      <w:r w:rsidR="001265EA" w:rsidRPr="0010460E">
        <w:rPr>
          <w:sz w:val="22"/>
          <w:szCs w:val="22"/>
        </w:rPr>
        <w:t xml:space="preserve"> letra</w:t>
      </w:r>
      <w:r w:rsidRPr="0010460E">
        <w:rPr>
          <w:sz w:val="22"/>
          <w:szCs w:val="22"/>
        </w:rPr>
        <w:t xml:space="preserve"> B) de la LIR, dicha renta debe ser </w:t>
      </w:r>
      <w:r w:rsidR="00550320" w:rsidRPr="0010460E">
        <w:rPr>
          <w:sz w:val="22"/>
          <w:szCs w:val="22"/>
        </w:rPr>
        <w:t>anotada</w:t>
      </w:r>
      <w:r w:rsidRPr="0010460E">
        <w:rPr>
          <w:sz w:val="22"/>
          <w:szCs w:val="22"/>
        </w:rPr>
        <w:t xml:space="preserve"> en </w:t>
      </w:r>
      <w:r w:rsidR="00064BEF" w:rsidRPr="0010460E">
        <w:rPr>
          <w:sz w:val="22"/>
          <w:szCs w:val="22"/>
        </w:rPr>
        <w:t>el</w:t>
      </w:r>
      <w:r w:rsidRPr="0010460E">
        <w:rPr>
          <w:sz w:val="22"/>
          <w:szCs w:val="22"/>
        </w:rPr>
        <w:t xml:space="preserve"> registro establecido en la letra c), del N°</w:t>
      </w:r>
      <w:r w:rsidR="00B74298" w:rsidRPr="0010460E">
        <w:rPr>
          <w:sz w:val="22"/>
          <w:szCs w:val="22"/>
        </w:rPr>
        <w:t xml:space="preserve"> </w:t>
      </w:r>
      <w:r w:rsidRPr="0010460E">
        <w:rPr>
          <w:sz w:val="22"/>
          <w:szCs w:val="22"/>
        </w:rPr>
        <w:t xml:space="preserve">2 </w:t>
      </w:r>
      <w:r w:rsidR="003401B3" w:rsidRPr="0010460E">
        <w:rPr>
          <w:sz w:val="22"/>
          <w:szCs w:val="22"/>
        </w:rPr>
        <w:t xml:space="preserve">de la letra B) </w:t>
      </w:r>
      <w:r w:rsidRPr="0010460E">
        <w:rPr>
          <w:sz w:val="22"/>
          <w:szCs w:val="22"/>
        </w:rPr>
        <w:t>de dicho artículo, esto es, en el Registro denominado “Rentas exentas e ingresos no constitutivos de renta”</w:t>
      </w:r>
      <w:r w:rsidR="005E18E3" w:rsidRPr="0010460E">
        <w:rPr>
          <w:sz w:val="22"/>
          <w:szCs w:val="22"/>
        </w:rPr>
        <w:t>, su</w:t>
      </w:r>
      <w:r w:rsidRPr="0010460E">
        <w:rPr>
          <w:sz w:val="22"/>
          <w:szCs w:val="22"/>
        </w:rPr>
        <w:t xml:space="preserve"> crédito deberá ser </w:t>
      </w:r>
      <w:r w:rsidR="001265EA" w:rsidRPr="0010460E">
        <w:rPr>
          <w:sz w:val="22"/>
          <w:szCs w:val="22"/>
        </w:rPr>
        <w:t>anotado</w:t>
      </w:r>
      <w:r w:rsidRPr="0010460E">
        <w:rPr>
          <w:sz w:val="22"/>
          <w:szCs w:val="22"/>
        </w:rPr>
        <w:t xml:space="preserve"> en el registro establecido en la letra d), del N°</w:t>
      </w:r>
      <w:r w:rsidR="005E18E3" w:rsidRPr="0010460E">
        <w:rPr>
          <w:sz w:val="22"/>
          <w:szCs w:val="22"/>
        </w:rPr>
        <w:t xml:space="preserve"> </w:t>
      </w:r>
      <w:r w:rsidRPr="0010460E">
        <w:rPr>
          <w:sz w:val="22"/>
          <w:szCs w:val="22"/>
        </w:rPr>
        <w:t xml:space="preserve">2 </w:t>
      </w:r>
      <w:r w:rsidR="003401B3" w:rsidRPr="0010460E">
        <w:rPr>
          <w:sz w:val="22"/>
          <w:szCs w:val="22"/>
        </w:rPr>
        <w:t xml:space="preserve">de la letra B) </w:t>
      </w:r>
      <w:r w:rsidRPr="0010460E">
        <w:rPr>
          <w:sz w:val="22"/>
          <w:szCs w:val="22"/>
        </w:rPr>
        <w:t xml:space="preserve">de dicho artículo, es decir, en el </w:t>
      </w:r>
      <w:r w:rsidR="001265EA" w:rsidRPr="0010460E">
        <w:rPr>
          <w:sz w:val="22"/>
          <w:szCs w:val="22"/>
        </w:rPr>
        <w:t>r</w:t>
      </w:r>
      <w:r w:rsidRPr="0010460E">
        <w:rPr>
          <w:sz w:val="22"/>
          <w:szCs w:val="22"/>
        </w:rPr>
        <w:t>egistro denominado “Saldo acumulado de crédito”.</w:t>
      </w:r>
    </w:p>
    <w:p w:rsidR="00F8266C" w:rsidRPr="0010460E" w:rsidRDefault="00F8266C" w:rsidP="00274B31">
      <w:pPr>
        <w:spacing w:after="240"/>
        <w:ind w:left="426" w:right="-22"/>
        <w:contextualSpacing/>
        <w:jc w:val="both"/>
        <w:rPr>
          <w:sz w:val="22"/>
          <w:szCs w:val="22"/>
        </w:rPr>
      </w:pPr>
      <w:r w:rsidRPr="0010460E">
        <w:rPr>
          <w:sz w:val="22"/>
          <w:szCs w:val="22"/>
        </w:rPr>
        <w:t>Para la asignación d</w:t>
      </w:r>
      <w:r w:rsidR="00DE690E" w:rsidRPr="0010460E">
        <w:rPr>
          <w:sz w:val="22"/>
          <w:szCs w:val="22"/>
        </w:rPr>
        <w:t>el</w:t>
      </w:r>
      <w:r w:rsidRPr="0010460E">
        <w:rPr>
          <w:sz w:val="22"/>
          <w:szCs w:val="22"/>
        </w:rPr>
        <w:t xml:space="preserve"> crédito se deberá proceder conforme a lo establecido en el N° 3 de la letra B) del artículo 14 de</w:t>
      </w:r>
      <w:r w:rsidR="002F5B41" w:rsidRPr="0010460E">
        <w:rPr>
          <w:sz w:val="22"/>
          <w:szCs w:val="22"/>
        </w:rPr>
        <w:t xml:space="preserve"> la LIR, en concordancia con lo</w:t>
      </w:r>
      <w:r w:rsidRPr="0010460E">
        <w:rPr>
          <w:sz w:val="22"/>
          <w:szCs w:val="22"/>
        </w:rPr>
        <w:t xml:space="preserve"> establecido en el inciso segundo del numeral ii), de la letra c), del N° 1, del numeral I</w:t>
      </w:r>
      <w:r w:rsidR="002F5B41" w:rsidRPr="0010460E">
        <w:rPr>
          <w:sz w:val="22"/>
          <w:szCs w:val="22"/>
        </w:rPr>
        <w:t>.-</w:t>
      </w:r>
      <w:r w:rsidRPr="0010460E">
        <w:rPr>
          <w:sz w:val="22"/>
          <w:szCs w:val="22"/>
        </w:rPr>
        <w:t xml:space="preserve"> del artículo tercero transitorio de la Ley N° 20.780 de 2014</w:t>
      </w:r>
      <w:r w:rsidR="00514F7E" w:rsidRPr="0010460E">
        <w:rPr>
          <w:sz w:val="22"/>
          <w:szCs w:val="22"/>
        </w:rPr>
        <w:t>. E</w:t>
      </w:r>
      <w:r w:rsidRPr="0010460E">
        <w:rPr>
          <w:sz w:val="22"/>
          <w:szCs w:val="22"/>
        </w:rPr>
        <w:t>s decir, dicho crédito se asignará en la medida que los retiros, remesas o distribuciones resulten imputados al registro RAI, DDAN o no resulten imputados a ningún registro.</w:t>
      </w:r>
    </w:p>
    <w:p w:rsidR="009C78A7" w:rsidRPr="0010460E" w:rsidRDefault="009C78A7" w:rsidP="00274B31">
      <w:pPr>
        <w:pStyle w:val="Prrafodelista"/>
        <w:numPr>
          <w:ilvl w:val="0"/>
          <w:numId w:val="22"/>
        </w:numPr>
        <w:tabs>
          <w:tab w:val="left" w:pos="284"/>
        </w:tabs>
        <w:spacing w:after="240"/>
        <w:ind w:left="709" w:right="-22"/>
        <w:jc w:val="both"/>
        <w:rPr>
          <w:b/>
          <w:sz w:val="22"/>
          <w:szCs w:val="22"/>
        </w:rPr>
      </w:pPr>
      <w:r w:rsidRPr="0010460E">
        <w:rPr>
          <w:b/>
          <w:sz w:val="22"/>
          <w:szCs w:val="22"/>
        </w:rPr>
        <w:lastRenderedPageBreak/>
        <w:t>ANALISIS:</w:t>
      </w:r>
    </w:p>
    <w:p w:rsidR="00CE1E71" w:rsidRPr="0010460E" w:rsidRDefault="00CE1E71" w:rsidP="00274B31">
      <w:pPr>
        <w:pStyle w:val="Prrafodelista"/>
        <w:tabs>
          <w:tab w:val="left" w:pos="284"/>
        </w:tabs>
        <w:spacing w:after="240"/>
        <w:ind w:left="709" w:right="-22"/>
        <w:jc w:val="both"/>
        <w:rPr>
          <w:b/>
          <w:sz w:val="22"/>
          <w:szCs w:val="22"/>
        </w:rPr>
      </w:pPr>
    </w:p>
    <w:p w:rsidR="00AE54D0" w:rsidRPr="0010460E" w:rsidRDefault="00AE54D0" w:rsidP="00274B31">
      <w:pPr>
        <w:pStyle w:val="Prrafodelista"/>
        <w:numPr>
          <w:ilvl w:val="0"/>
          <w:numId w:val="23"/>
        </w:numPr>
        <w:tabs>
          <w:tab w:val="left" w:pos="567"/>
        </w:tabs>
        <w:spacing w:after="240"/>
        <w:ind w:left="284" w:right="-22" w:hanging="284"/>
        <w:jc w:val="both"/>
        <w:rPr>
          <w:sz w:val="22"/>
          <w:szCs w:val="22"/>
        </w:rPr>
      </w:pPr>
      <w:r w:rsidRPr="0010460E">
        <w:rPr>
          <w:sz w:val="22"/>
          <w:szCs w:val="22"/>
        </w:rPr>
        <w:t xml:space="preserve">Tal como se indica en el antecedente, </w:t>
      </w:r>
      <w:r w:rsidR="00743EE3" w:rsidRPr="0010460E">
        <w:rPr>
          <w:sz w:val="22"/>
          <w:szCs w:val="22"/>
        </w:rPr>
        <w:t xml:space="preserve">de </w:t>
      </w:r>
      <w:r w:rsidRPr="0010460E">
        <w:rPr>
          <w:sz w:val="22"/>
          <w:szCs w:val="22"/>
        </w:rPr>
        <w:t>conformidad al artículo 11 de la Ley N° 18.401 los dividendos provenientes de las acciones preferidas que distribuyan las instituciones financieras indicada</w:t>
      </w:r>
      <w:r w:rsidR="0084260D" w:rsidRPr="0010460E">
        <w:rPr>
          <w:sz w:val="22"/>
          <w:szCs w:val="22"/>
        </w:rPr>
        <w:t>s</w:t>
      </w:r>
      <w:r w:rsidRPr="0010460E">
        <w:rPr>
          <w:sz w:val="22"/>
          <w:szCs w:val="22"/>
        </w:rPr>
        <w:t xml:space="preserve"> en dicha norma</w:t>
      </w:r>
      <w:r w:rsidR="005C1B35" w:rsidRPr="0010460E">
        <w:rPr>
          <w:sz w:val="22"/>
          <w:szCs w:val="22"/>
        </w:rPr>
        <w:t>,</w:t>
      </w:r>
      <w:r w:rsidRPr="0010460E">
        <w:rPr>
          <w:sz w:val="22"/>
          <w:szCs w:val="22"/>
        </w:rPr>
        <w:t xml:space="preserve"> estarán exent</w:t>
      </w:r>
      <w:r w:rsidR="005C1B35" w:rsidRPr="0010460E">
        <w:rPr>
          <w:sz w:val="22"/>
          <w:szCs w:val="22"/>
        </w:rPr>
        <w:t>os</w:t>
      </w:r>
      <w:r w:rsidRPr="0010460E">
        <w:rPr>
          <w:sz w:val="22"/>
          <w:szCs w:val="22"/>
        </w:rPr>
        <w:t xml:space="preserve"> del IGC</w:t>
      </w:r>
      <w:r w:rsidR="00B95D26" w:rsidRPr="0010460E">
        <w:rPr>
          <w:rStyle w:val="Refdenotaalpie"/>
          <w:sz w:val="22"/>
          <w:szCs w:val="22"/>
        </w:rPr>
        <w:footnoteReference w:id="1"/>
      </w:r>
      <w:r w:rsidR="0063440B" w:rsidRPr="0010460E">
        <w:rPr>
          <w:sz w:val="22"/>
          <w:szCs w:val="22"/>
        </w:rPr>
        <w:t>, sin perjuicio del derecho al crédito por IDPC</w:t>
      </w:r>
      <w:r w:rsidR="00564D4B" w:rsidRPr="0010460E">
        <w:rPr>
          <w:rStyle w:val="Refdenotaalpie"/>
          <w:sz w:val="22"/>
          <w:szCs w:val="22"/>
        </w:rPr>
        <w:footnoteReference w:id="2"/>
      </w:r>
      <w:r w:rsidR="0063440B" w:rsidRPr="0010460E">
        <w:rPr>
          <w:sz w:val="22"/>
          <w:szCs w:val="22"/>
        </w:rPr>
        <w:t xml:space="preserve">. </w:t>
      </w:r>
      <w:r w:rsidR="00D80A38" w:rsidRPr="0010460E">
        <w:rPr>
          <w:sz w:val="22"/>
          <w:szCs w:val="22"/>
        </w:rPr>
        <w:t xml:space="preserve">Esta </w:t>
      </w:r>
      <w:r w:rsidR="0063440B" w:rsidRPr="0010460E">
        <w:rPr>
          <w:sz w:val="22"/>
          <w:szCs w:val="22"/>
        </w:rPr>
        <w:t>franquicia co</w:t>
      </w:r>
      <w:r w:rsidR="00D80A38" w:rsidRPr="0010460E">
        <w:rPr>
          <w:sz w:val="22"/>
          <w:szCs w:val="22"/>
        </w:rPr>
        <w:t>nsiste en</w:t>
      </w:r>
      <w:r w:rsidR="0063440B" w:rsidRPr="0010460E">
        <w:rPr>
          <w:sz w:val="22"/>
          <w:szCs w:val="22"/>
        </w:rPr>
        <w:t xml:space="preserve"> la exención del </w:t>
      </w:r>
      <w:r w:rsidR="00901E38" w:rsidRPr="0010460E">
        <w:rPr>
          <w:sz w:val="22"/>
          <w:szCs w:val="22"/>
        </w:rPr>
        <w:t>impuesto</w:t>
      </w:r>
      <w:r w:rsidR="005C1B35" w:rsidRPr="0010460E">
        <w:rPr>
          <w:sz w:val="22"/>
          <w:szCs w:val="22"/>
        </w:rPr>
        <w:t xml:space="preserve"> personal</w:t>
      </w:r>
      <w:r w:rsidR="0063440B" w:rsidRPr="0010460E">
        <w:rPr>
          <w:sz w:val="22"/>
          <w:szCs w:val="22"/>
        </w:rPr>
        <w:t xml:space="preserve">, no así </w:t>
      </w:r>
      <w:r w:rsidR="0084260D" w:rsidRPr="0010460E">
        <w:rPr>
          <w:sz w:val="22"/>
          <w:szCs w:val="22"/>
        </w:rPr>
        <w:t>de</w:t>
      </w:r>
      <w:r w:rsidR="0063440B" w:rsidRPr="0010460E">
        <w:rPr>
          <w:sz w:val="22"/>
          <w:szCs w:val="22"/>
        </w:rPr>
        <w:t xml:space="preserve">l crédito por IDPC, el cual </w:t>
      </w:r>
      <w:r w:rsidR="00901E38" w:rsidRPr="0010460E">
        <w:rPr>
          <w:sz w:val="22"/>
          <w:szCs w:val="22"/>
        </w:rPr>
        <w:t xml:space="preserve">sólo </w:t>
      </w:r>
      <w:r w:rsidR="0063440B" w:rsidRPr="0010460E">
        <w:rPr>
          <w:sz w:val="22"/>
          <w:szCs w:val="22"/>
        </w:rPr>
        <w:t xml:space="preserve">corresponderá </w:t>
      </w:r>
      <w:r w:rsidR="00D80A38" w:rsidRPr="0010460E">
        <w:rPr>
          <w:sz w:val="22"/>
          <w:szCs w:val="22"/>
        </w:rPr>
        <w:t>cuando</w:t>
      </w:r>
      <w:r w:rsidR="0063440B" w:rsidRPr="0010460E">
        <w:rPr>
          <w:sz w:val="22"/>
          <w:szCs w:val="22"/>
        </w:rPr>
        <w:t xml:space="preserve"> las rentas hayan sido gravadas con el mencionado </w:t>
      </w:r>
      <w:r w:rsidR="004479AA" w:rsidRPr="0010460E">
        <w:rPr>
          <w:sz w:val="22"/>
          <w:szCs w:val="22"/>
        </w:rPr>
        <w:t>tributo</w:t>
      </w:r>
      <w:r w:rsidR="003401B3" w:rsidRPr="0010460E">
        <w:rPr>
          <w:sz w:val="22"/>
          <w:szCs w:val="22"/>
        </w:rPr>
        <w:t xml:space="preserve"> de categoría</w:t>
      </w:r>
      <w:r w:rsidR="004479AA" w:rsidRPr="0010460E">
        <w:rPr>
          <w:sz w:val="22"/>
          <w:szCs w:val="22"/>
        </w:rPr>
        <w:t>.</w:t>
      </w:r>
    </w:p>
    <w:p w:rsidR="007C551E" w:rsidRPr="0010460E" w:rsidRDefault="007C551E" w:rsidP="00274B31">
      <w:pPr>
        <w:pStyle w:val="Prrafodelista"/>
        <w:tabs>
          <w:tab w:val="left" w:pos="567"/>
        </w:tabs>
        <w:spacing w:after="240"/>
        <w:ind w:left="284" w:right="-22"/>
        <w:jc w:val="both"/>
        <w:rPr>
          <w:sz w:val="22"/>
          <w:szCs w:val="22"/>
        </w:rPr>
      </w:pPr>
    </w:p>
    <w:p w:rsidR="00901E38" w:rsidRPr="0010460E" w:rsidRDefault="007C551E" w:rsidP="00274B31">
      <w:pPr>
        <w:pStyle w:val="Prrafodelista"/>
        <w:tabs>
          <w:tab w:val="left" w:pos="567"/>
        </w:tabs>
        <w:spacing w:after="240"/>
        <w:ind w:left="284" w:right="-22"/>
        <w:jc w:val="both"/>
        <w:rPr>
          <w:sz w:val="22"/>
          <w:szCs w:val="22"/>
        </w:rPr>
      </w:pPr>
      <w:r w:rsidRPr="0010460E">
        <w:rPr>
          <w:sz w:val="22"/>
          <w:szCs w:val="22"/>
        </w:rPr>
        <w:t xml:space="preserve">Es decir, se trata de dividendos afectos a los impuestos personales, </w:t>
      </w:r>
      <w:r w:rsidR="006C749E" w:rsidRPr="0010460E">
        <w:rPr>
          <w:sz w:val="22"/>
          <w:szCs w:val="22"/>
        </w:rPr>
        <w:t xml:space="preserve">dado </w:t>
      </w:r>
      <w:r w:rsidRPr="0010460E">
        <w:rPr>
          <w:sz w:val="22"/>
          <w:szCs w:val="22"/>
        </w:rPr>
        <w:t>que resultaron imputados, por ejemplo, al registro RAI</w:t>
      </w:r>
      <w:r w:rsidRPr="0010460E">
        <w:rPr>
          <w:rStyle w:val="Refdenotaalpie"/>
          <w:sz w:val="22"/>
          <w:szCs w:val="22"/>
        </w:rPr>
        <w:footnoteReference w:id="3"/>
      </w:r>
      <w:r w:rsidRPr="0010460E">
        <w:rPr>
          <w:sz w:val="22"/>
          <w:szCs w:val="22"/>
        </w:rPr>
        <w:t>, DDAN</w:t>
      </w:r>
      <w:r w:rsidRPr="0010460E">
        <w:rPr>
          <w:rStyle w:val="Refdenotaalpie"/>
          <w:sz w:val="22"/>
          <w:szCs w:val="22"/>
        </w:rPr>
        <w:footnoteReference w:id="4"/>
      </w:r>
      <w:r w:rsidRPr="0010460E">
        <w:rPr>
          <w:sz w:val="22"/>
          <w:szCs w:val="22"/>
        </w:rPr>
        <w:t xml:space="preserve"> o quedaron sin imputación, a los cuales se les asignó créditos del registro SAC</w:t>
      </w:r>
      <w:r w:rsidR="00B95D26" w:rsidRPr="0010460E">
        <w:rPr>
          <w:rStyle w:val="Refdenotaalpie"/>
          <w:sz w:val="22"/>
          <w:szCs w:val="22"/>
        </w:rPr>
        <w:footnoteReference w:id="5"/>
      </w:r>
      <w:r w:rsidR="006C749E" w:rsidRPr="0010460E">
        <w:rPr>
          <w:sz w:val="22"/>
          <w:szCs w:val="22"/>
        </w:rPr>
        <w:t xml:space="preserve">. Estos créditos pueden haber </w:t>
      </w:r>
      <w:r w:rsidR="006C3AB9" w:rsidRPr="0010460E">
        <w:rPr>
          <w:sz w:val="22"/>
          <w:szCs w:val="22"/>
        </w:rPr>
        <w:t>sido</w:t>
      </w:r>
      <w:r w:rsidRPr="0010460E">
        <w:rPr>
          <w:sz w:val="22"/>
          <w:szCs w:val="22"/>
        </w:rPr>
        <w:t xml:space="preserve"> originados </w:t>
      </w:r>
      <w:r w:rsidR="00901E38" w:rsidRPr="0010460E">
        <w:rPr>
          <w:sz w:val="22"/>
          <w:szCs w:val="22"/>
        </w:rPr>
        <w:t>a</w:t>
      </w:r>
      <w:r w:rsidR="006C749E" w:rsidRPr="0010460E">
        <w:rPr>
          <w:sz w:val="22"/>
          <w:szCs w:val="22"/>
        </w:rPr>
        <w:t xml:space="preserve">ntes o </w:t>
      </w:r>
      <w:r w:rsidR="00D80A38" w:rsidRPr="0010460E">
        <w:rPr>
          <w:sz w:val="22"/>
          <w:szCs w:val="22"/>
        </w:rPr>
        <w:t>a contar</w:t>
      </w:r>
      <w:r w:rsidR="006C749E" w:rsidRPr="0010460E">
        <w:rPr>
          <w:sz w:val="22"/>
          <w:szCs w:val="22"/>
        </w:rPr>
        <w:t xml:space="preserve"> </w:t>
      </w:r>
      <w:r w:rsidR="00901E38" w:rsidRPr="0010460E">
        <w:rPr>
          <w:sz w:val="22"/>
          <w:szCs w:val="22"/>
        </w:rPr>
        <w:t>del 1° de enero de 2017</w:t>
      </w:r>
      <w:r w:rsidR="006C749E" w:rsidRPr="0010460E">
        <w:rPr>
          <w:sz w:val="22"/>
          <w:szCs w:val="22"/>
        </w:rPr>
        <w:t xml:space="preserve">, </w:t>
      </w:r>
      <w:r w:rsidR="007E19BB" w:rsidRPr="0010460E">
        <w:rPr>
          <w:sz w:val="22"/>
          <w:szCs w:val="22"/>
        </w:rPr>
        <w:t>y,</w:t>
      </w:r>
      <w:r w:rsidR="006C749E" w:rsidRPr="0010460E">
        <w:rPr>
          <w:sz w:val="22"/>
          <w:szCs w:val="22"/>
        </w:rPr>
        <w:t xml:space="preserve"> p</w:t>
      </w:r>
      <w:r w:rsidR="00901E38" w:rsidRPr="0010460E">
        <w:rPr>
          <w:sz w:val="22"/>
          <w:szCs w:val="22"/>
        </w:rPr>
        <w:t xml:space="preserve">or lo tanto, </w:t>
      </w:r>
      <w:r w:rsidR="007E4A09" w:rsidRPr="0010460E">
        <w:rPr>
          <w:sz w:val="22"/>
          <w:szCs w:val="22"/>
        </w:rPr>
        <w:t xml:space="preserve">dependiendo del régimen al cual se sujete el contribuyente y de la forma de pago de su IDPC, </w:t>
      </w:r>
      <w:r w:rsidR="00901E38" w:rsidRPr="0010460E">
        <w:rPr>
          <w:sz w:val="22"/>
          <w:szCs w:val="22"/>
        </w:rPr>
        <w:t xml:space="preserve">los créditos </w:t>
      </w:r>
      <w:r w:rsidR="00015FE0" w:rsidRPr="0010460E">
        <w:rPr>
          <w:sz w:val="22"/>
          <w:szCs w:val="22"/>
        </w:rPr>
        <w:t xml:space="preserve">en cuestión </w:t>
      </w:r>
      <w:r w:rsidR="00901E38" w:rsidRPr="0010460E">
        <w:rPr>
          <w:sz w:val="22"/>
          <w:szCs w:val="22"/>
        </w:rPr>
        <w:t>pueden tener o no derecho a devolución y pueden tener o no la obligación de restituir.</w:t>
      </w:r>
    </w:p>
    <w:p w:rsidR="00901E38" w:rsidRPr="0010460E" w:rsidRDefault="00901E38" w:rsidP="00274B31">
      <w:pPr>
        <w:pStyle w:val="Prrafodelista"/>
        <w:tabs>
          <w:tab w:val="left" w:pos="567"/>
        </w:tabs>
        <w:spacing w:after="240"/>
        <w:ind w:left="284" w:right="-22"/>
        <w:jc w:val="both"/>
        <w:rPr>
          <w:sz w:val="22"/>
          <w:szCs w:val="22"/>
        </w:rPr>
      </w:pPr>
    </w:p>
    <w:p w:rsidR="00015FE0" w:rsidRPr="0010460E" w:rsidRDefault="007C551E" w:rsidP="00274B31">
      <w:pPr>
        <w:pStyle w:val="Prrafodelista"/>
        <w:tabs>
          <w:tab w:val="left" w:pos="567"/>
        </w:tabs>
        <w:spacing w:after="240"/>
        <w:ind w:left="284" w:right="-22"/>
        <w:jc w:val="both"/>
        <w:rPr>
          <w:sz w:val="22"/>
          <w:szCs w:val="22"/>
        </w:rPr>
      </w:pPr>
      <w:r w:rsidRPr="0010460E">
        <w:rPr>
          <w:sz w:val="22"/>
          <w:szCs w:val="22"/>
        </w:rPr>
        <w:t xml:space="preserve">Si tales dividendos son pagados </w:t>
      </w:r>
      <w:r w:rsidR="00743EE3" w:rsidRPr="0010460E">
        <w:rPr>
          <w:sz w:val="22"/>
          <w:szCs w:val="22"/>
        </w:rPr>
        <w:t xml:space="preserve">por </w:t>
      </w:r>
      <w:r w:rsidRPr="0010460E">
        <w:rPr>
          <w:sz w:val="22"/>
          <w:szCs w:val="22"/>
        </w:rPr>
        <w:t xml:space="preserve">las empresas a que se refiere la norma legal </w:t>
      </w:r>
      <w:r w:rsidR="00743EE3" w:rsidRPr="0010460E">
        <w:rPr>
          <w:sz w:val="22"/>
          <w:szCs w:val="22"/>
        </w:rPr>
        <w:t>en análisis</w:t>
      </w:r>
      <w:r w:rsidRPr="0010460E">
        <w:rPr>
          <w:sz w:val="22"/>
          <w:szCs w:val="22"/>
        </w:rPr>
        <w:t>, al momento de su certificación, aun cuando se encuentren afectos</w:t>
      </w:r>
      <w:r w:rsidR="0066116B" w:rsidRPr="0010460E">
        <w:rPr>
          <w:sz w:val="22"/>
          <w:szCs w:val="22"/>
        </w:rPr>
        <w:t xml:space="preserve"> a los impuestos personales</w:t>
      </w:r>
      <w:r w:rsidRPr="0010460E">
        <w:rPr>
          <w:sz w:val="22"/>
          <w:szCs w:val="22"/>
        </w:rPr>
        <w:t>, se informará</w:t>
      </w:r>
      <w:r w:rsidR="0066116B" w:rsidRPr="0010460E">
        <w:rPr>
          <w:sz w:val="22"/>
          <w:szCs w:val="22"/>
        </w:rPr>
        <w:t>n</w:t>
      </w:r>
      <w:r w:rsidRPr="0010460E">
        <w:rPr>
          <w:sz w:val="22"/>
          <w:szCs w:val="22"/>
        </w:rPr>
        <w:t xml:space="preserve"> como exentos de IGC</w:t>
      </w:r>
      <w:r w:rsidR="00015FE0" w:rsidRPr="0010460E">
        <w:rPr>
          <w:sz w:val="22"/>
          <w:szCs w:val="22"/>
        </w:rPr>
        <w:t>, pero afecto</w:t>
      </w:r>
      <w:r w:rsidR="0084260D" w:rsidRPr="0010460E">
        <w:rPr>
          <w:sz w:val="22"/>
          <w:szCs w:val="22"/>
        </w:rPr>
        <w:t>s</w:t>
      </w:r>
      <w:r w:rsidR="00015FE0" w:rsidRPr="0010460E">
        <w:rPr>
          <w:sz w:val="22"/>
          <w:szCs w:val="22"/>
        </w:rPr>
        <w:t xml:space="preserve"> a </w:t>
      </w:r>
      <w:r w:rsidR="0066116B" w:rsidRPr="0010460E">
        <w:rPr>
          <w:sz w:val="22"/>
          <w:szCs w:val="22"/>
        </w:rPr>
        <w:t>IA</w:t>
      </w:r>
      <w:r w:rsidR="00B95D26" w:rsidRPr="0010460E">
        <w:rPr>
          <w:rStyle w:val="Refdenotaalpie"/>
          <w:sz w:val="22"/>
          <w:szCs w:val="22"/>
        </w:rPr>
        <w:footnoteReference w:id="6"/>
      </w:r>
      <w:r w:rsidR="0066116B" w:rsidRPr="0010460E">
        <w:rPr>
          <w:sz w:val="22"/>
          <w:szCs w:val="22"/>
        </w:rPr>
        <w:t>.</w:t>
      </w:r>
    </w:p>
    <w:p w:rsidR="00C712CD" w:rsidRPr="0010460E" w:rsidRDefault="00C712CD" w:rsidP="00274B31">
      <w:pPr>
        <w:pStyle w:val="Prrafodelista"/>
        <w:tabs>
          <w:tab w:val="left" w:pos="567"/>
        </w:tabs>
        <w:spacing w:after="240"/>
        <w:ind w:left="284" w:right="-22"/>
        <w:jc w:val="both"/>
        <w:rPr>
          <w:sz w:val="22"/>
          <w:szCs w:val="22"/>
        </w:rPr>
      </w:pPr>
    </w:p>
    <w:p w:rsidR="007A07A3" w:rsidRPr="0010460E" w:rsidRDefault="002C3A14" w:rsidP="00274B31">
      <w:pPr>
        <w:pStyle w:val="Prrafodelista"/>
        <w:numPr>
          <w:ilvl w:val="0"/>
          <w:numId w:val="23"/>
        </w:numPr>
        <w:tabs>
          <w:tab w:val="left" w:pos="567"/>
        </w:tabs>
        <w:spacing w:after="240"/>
        <w:ind w:left="284" w:right="-22" w:hanging="284"/>
        <w:jc w:val="both"/>
        <w:rPr>
          <w:sz w:val="22"/>
          <w:szCs w:val="22"/>
        </w:rPr>
      </w:pPr>
      <w:r w:rsidRPr="0010460E">
        <w:rPr>
          <w:sz w:val="22"/>
          <w:szCs w:val="22"/>
        </w:rPr>
        <w:t>Ahora bien, d</w:t>
      </w:r>
      <w:r w:rsidR="007A07A3" w:rsidRPr="0010460E">
        <w:rPr>
          <w:sz w:val="22"/>
          <w:szCs w:val="22"/>
        </w:rPr>
        <w:t xml:space="preserve">e conformidad a la letra c), </w:t>
      </w:r>
      <w:r w:rsidR="00C712CD" w:rsidRPr="0010460E">
        <w:rPr>
          <w:sz w:val="22"/>
          <w:szCs w:val="22"/>
        </w:rPr>
        <w:t xml:space="preserve">del N° 4 de la letra A) y letra c) </w:t>
      </w:r>
      <w:r w:rsidR="007A07A3" w:rsidRPr="0010460E">
        <w:rPr>
          <w:sz w:val="22"/>
          <w:szCs w:val="22"/>
        </w:rPr>
        <w:t xml:space="preserve">del N° 2, de la letra B), </w:t>
      </w:r>
      <w:r w:rsidR="00C712CD" w:rsidRPr="0010460E">
        <w:rPr>
          <w:sz w:val="22"/>
          <w:szCs w:val="22"/>
        </w:rPr>
        <w:t xml:space="preserve">ambas </w:t>
      </w:r>
      <w:r w:rsidR="007A07A3" w:rsidRPr="0010460E">
        <w:rPr>
          <w:sz w:val="22"/>
          <w:szCs w:val="22"/>
        </w:rPr>
        <w:t xml:space="preserve">del artículo 14 de la LIR, </w:t>
      </w:r>
      <w:r w:rsidR="004B2750" w:rsidRPr="0010460E">
        <w:rPr>
          <w:sz w:val="22"/>
          <w:szCs w:val="22"/>
        </w:rPr>
        <w:t>los contribuyentes sujetos al régimen de renta atribuida o de imputación parcial de créditos deben controla</w:t>
      </w:r>
      <w:r w:rsidR="00CD1E16" w:rsidRPr="0010460E">
        <w:rPr>
          <w:sz w:val="22"/>
          <w:szCs w:val="22"/>
        </w:rPr>
        <w:t>r</w:t>
      </w:r>
      <w:r w:rsidR="004B2750" w:rsidRPr="0010460E">
        <w:rPr>
          <w:sz w:val="22"/>
          <w:szCs w:val="22"/>
        </w:rPr>
        <w:t xml:space="preserve"> en el registro REX</w:t>
      </w:r>
      <w:r w:rsidR="000356AE" w:rsidRPr="0010460E">
        <w:rPr>
          <w:rStyle w:val="Refdenotaalpie"/>
          <w:sz w:val="22"/>
          <w:szCs w:val="22"/>
        </w:rPr>
        <w:footnoteReference w:id="7"/>
      </w:r>
      <w:r w:rsidR="004B2750" w:rsidRPr="0010460E">
        <w:rPr>
          <w:sz w:val="22"/>
          <w:szCs w:val="22"/>
        </w:rPr>
        <w:t xml:space="preserve"> </w:t>
      </w:r>
      <w:r w:rsidR="007A07A3" w:rsidRPr="0010460E">
        <w:rPr>
          <w:sz w:val="22"/>
          <w:szCs w:val="22"/>
        </w:rPr>
        <w:t>las rentas exentas de IGC o IA. Por lo tanto, los dividendos a que se refiere el artículo 11 de la Ley N° 18.401, debe</w:t>
      </w:r>
      <w:r w:rsidR="00B47108" w:rsidRPr="0010460E">
        <w:rPr>
          <w:sz w:val="22"/>
          <w:szCs w:val="22"/>
        </w:rPr>
        <w:t>n</w:t>
      </w:r>
      <w:r w:rsidR="007A07A3" w:rsidRPr="0010460E">
        <w:rPr>
          <w:sz w:val="22"/>
          <w:szCs w:val="22"/>
        </w:rPr>
        <w:t xml:space="preserve"> ser incorporados en </w:t>
      </w:r>
      <w:r w:rsidR="00FF35D6" w:rsidRPr="0010460E">
        <w:rPr>
          <w:sz w:val="22"/>
          <w:szCs w:val="22"/>
        </w:rPr>
        <w:t>tal</w:t>
      </w:r>
      <w:r w:rsidR="007A07A3" w:rsidRPr="0010460E">
        <w:rPr>
          <w:sz w:val="22"/>
          <w:szCs w:val="22"/>
        </w:rPr>
        <w:t xml:space="preserve"> registro, </w:t>
      </w:r>
      <w:r w:rsidR="000A4513" w:rsidRPr="0010460E">
        <w:rPr>
          <w:sz w:val="22"/>
          <w:szCs w:val="22"/>
        </w:rPr>
        <w:t>pero</w:t>
      </w:r>
      <w:r w:rsidR="007A07A3" w:rsidRPr="0010460E">
        <w:rPr>
          <w:sz w:val="22"/>
          <w:szCs w:val="22"/>
        </w:rPr>
        <w:t xml:space="preserve"> </w:t>
      </w:r>
      <w:r w:rsidR="00752EF9" w:rsidRPr="0010460E">
        <w:rPr>
          <w:sz w:val="22"/>
          <w:szCs w:val="22"/>
        </w:rPr>
        <w:t xml:space="preserve">su anotación se realizará </w:t>
      </w:r>
      <w:r w:rsidR="007A07A3" w:rsidRPr="0010460E">
        <w:rPr>
          <w:sz w:val="22"/>
          <w:szCs w:val="22"/>
        </w:rPr>
        <w:t xml:space="preserve">en una columna separada, dado que tales cantidades </w:t>
      </w:r>
      <w:r w:rsidR="00B47108" w:rsidRPr="0010460E">
        <w:rPr>
          <w:sz w:val="22"/>
          <w:szCs w:val="22"/>
        </w:rPr>
        <w:t>están</w:t>
      </w:r>
      <w:r w:rsidR="007A07A3" w:rsidRPr="0010460E">
        <w:rPr>
          <w:sz w:val="22"/>
          <w:szCs w:val="22"/>
        </w:rPr>
        <w:t xml:space="preserve"> directamente vinculadas con el crédito por IDPC que traen asociado</w:t>
      </w:r>
      <w:r w:rsidR="00567CF0" w:rsidRPr="0010460E">
        <w:rPr>
          <w:sz w:val="22"/>
          <w:szCs w:val="22"/>
        </w:rPr>
        <w:t xml:space="preserve">. </w:t>
      </w:r>
      <w:r w:rsidR="00B47108" w:rsidRPr="0010460E">
        <w:rPr>
          <w:sz w:val="22"/>
          <w:szCs w:val="22"/>
        </w:rPr>
        <w:t>Por su parte, e</w:t>
      </w:r>
      <w:r w:rsidR="00567CF0" w:rsidRPr="0010460E">
        <w:rPr>
          <w:sz w:val="22"/>
          <w:szCs w:val="22"/>
        </w:rPr>
        <w:t>l crédito</w:t>
      </w:r>
      <w:r w:rsidR="007A07A3" w:rsidRPr="0010460E">
        <w:rPr>
          <w:sz w:val="22"/>
          <w:szCs w:val="22"/>
        </w:rPr>
        <w:t xml:space="preserve"> deberá se</w:t>
      </w:r>
      <w:r w:rsidR="00904432" w:rsidRPr="0010460E">
        <w:rPr>
          <w:sz w:val="22"/>
          <w:szCs w:val="22"/>
        </w:rPr>
        <w:t>r</w:t>
      </w:r>
      <w:r w:rsidR="007A07A3" w:rsidRPr="0010460E">
        <w:rPr>
          <w:sz w:val="22"/>
          <w:szCs w:val="22"/>
        </w:rPr>
        <w:t xml:space="preserve"> anotado en el registro SAC a que se refiere </w:t>
      </w:r>
      <w:r w:rsidR="00324CED" w:rsidRPr="0010460E">
        <w:rPr>
          <w:sz w:val="22"/>
          <w:szCs w:val="22"/>
        </w:rPr>
        <w:t xml:space="preserve">la letra d), </w:t>
      </w:r>
      <w:r w:rsidR="000356AE" w:rsidRPr="0010460E">
        <w:rPr>
          <w:sz w:val="22"/>
          <w:szCs w:val="22"/>
        </w:rPr>
        <w:t>del N° 4 de la letra A) o</w:t>
      </w:r>
      <w:r w:rsidR="00C712CD" w:rsidRPr="0010460E">
        <w:rPr>
          <w:sz w:val="22"/>
          <w:szCs w:val="22"/>
        </w:rPr>
        <w:t xml:space="preserve"> </w:t>
      </w:r>
      <w:r w:rsidR="00904432" w:rsidRPr="0010460E">
        <w:rPr>
          <w:sz w:val="22"/>
          <w:szCs w:val="22"/>
        </w:rPr>
        <w:t xml:space="preserve">letra d), </w:t>
      </w:r>
      <w:r w:rsidR="00324CED" w:rsidRPr="0010460E">
        <w:rPr>
          <w:sz w:val="22"/>
          <w:szCs w:val="22"/>
        </w:rPr>
        <w:t xml:space="preserve">del N° 2 de la letra B), </w:t>
      </w:r>
      <w:r w:rsidR="00C712CD" w:rsidRPr="0010460E">
        <w:rPr>
          <w:sz w:val="22"/>
          <w:szCs w:val="22"/>
        </w:rPr>
        <w:t xml:space="preserve">ambas </w:t>
      </w:r>
      <w:r w:rsidR="00324CED" w:rsidRPr="0010460E">
        <w:rPr>
          <w:sz w:val="22"/>
          <w:szCs w:val="22"/>
        </w:rPr>
        <w:t>del artículo 14 de la LIR</w:t>
      </w:r>
      <w:r w:rsidR="000A4513" w:rsidRPr="0010460E">
        <w:rPr>
          <w:sz w:val="22"/>
          <w:szCs w:val="22"/>
        </w:rPr>
        <w:t>, según corresponda</w:t>
      </w:r>
      <w:r w:rsidR="007A07A3" w:rsidRPr="0010460E">
        <w:rPr>
          <w:sz w:val="22"/>
          <w:szCs w:val="22"/>
        </w:rPr>
        <w:t>.</w:t>
      </w:r>
    </w:p>
    <w:p w:rsidR="001874DA" w:rsidRPr="0010460E" w:rsidRDefault="001874DA" w:rsidP="00274B31">
      <w:pPr>
        <w:pStyle w:val="Prrafodelista"/>
        <w:tabs>
          <w:tab w:val="left" w:pos="567"/>
        </w:tabs>
        <w:spacing w:after="240"/>
        <w:ind w:left="284" w:right="-22"/>
        <w:jc w:val="both"/>
        <w:rPr>
          <w:sz w:val="22"/>
          <w:szCs w:val="22"/>
        </w:rPr>
      </w:pPr>
    </w:p>
    <w:p w:rsidR="00262666" w:rsidRPr="0010460E" w:rsidRDefault="001874DA" w:rsidP="00274B31">
      <w:pPr>
        <w:pStyle w:val="Prrafodelista"/>
        <w:numPr>
          <w:ilvl w:val="0"/>
          <w:numId w:val="23"/>
        </w:numPr>
        <w:tabs>
          <w:tab w:val="left" w:pos="567"/>
        </w:tabs>
        <w:spacing w:after="240"/>
        <w:ind w:left="284" w:right="-22" w:hanging="284"/>
        <w:jc w:val="both"/>
        <w:rPr>
          <w:sz w:val="22"/>
          <w:szCs w:val="22"/>
        </w:rPr>
      </w:pPr>
      <w:r w:rsidRPr="0010460E">
        <w:rPr>
          <w:sz w:val="22"/>
          <w:szCs w:val="22"/>
        </w:rPr>
        <w:t xml:space="preserve">Este </w:t>
      </w:r>
      <w:r w:rsidR="007A07A3" w:rsidRPr="0010460E">
        <w:rPr>
          <w:sz w:val="22"/>
          <w:szCs w:val="22"/>
        </w:rPr>
        <w:t>crédito también se deberá controlar en forma separada dentro del</w:t>
      </w:r>
      <w:r w:rsidR="00324CED" w:rsidRPr="0010460E">
        <w:rPr>
          <w:sz w:val="22"/>
          <w:szCs w:val="22"/>
        </w:rPr>
        <w:t xml:space="preserve"> registro SAC</w:t>
      </w:r>
      <w:r w:rsidR="007A07A3" w:rsidRPr="0010460E">
        <w:rPr>
          <w:sz w:val="22"/>
          <w:szCs w:val="22"/>
        </w:rPr>
        <w:t xml:space="preserve">, con el propósito de ser asignado exclusivamente a los retiros o dividendos imputados a las rentas exentas del artículo 11 de la Ley N° 18.401. </w:t>
      </w:r>
      <w:r w:rsidR="001C551B" w:rsidRPr="0010460E">
        <w:rPr>
          <w:sz w:val="22"/>
          <w:szCs w:val="22"/>
        </w:rPr>
        <w:t>Asimismo, en dicho control se</w:t>
      </w:r>
      <w:r w:rsidR="007A07A3" w:rsidRPr="0010460E">
        <w:rPr>
          <w:sz w:val="22"/>
          <w:szCs w:val="22"/>
        </w:rPr>
        <w:t xml:space="preserve"> distinguirá si </w:t>
      </w:r>
      <w:r w:rsidR="001C551B" w:rsidRPr="0010460E">
        <w:rPr>
          <w:sz w:val="22"/>
          <w:szCs w:val="22"/>
        </w:rPr>
        <w:t>los</w:t>
      </w:r>
      <w:r w:rsidR="009A455B" w:rsidRPr="0010460E">
        <w:rPr>
          <w:sz w:val="22"/>
          <w:szCs w:val="22"/>
        </w:rPr>
        <w:t xml:space="preserve"> crédito</w:t>
      </w:r>
      <w:r w:rsidR="001C551B" w:rsidRPr="0010460E">
        <w:rPr>
          <w:sz w:val="22"/>
          <w:szCs w:val="22"/>
        </w:rPr>
        <w:t>s</w:t>
      </w:r>
      <w:r w:rsidR="009A455B" w:rsidRPr="0010460E">
        <w:rPr>
          <w:sz w:val="22"/>
          <w:szCs w:val="22"/>
        </w:rPr>
        <w:t xml:space="preserve"> fue</w:t>
      </w:r>
      <w:r w:rsidR="001C551B" w:rsidRPr="0010460E">
        <w:rPr>
          <w:sz w:val="22"/>
          <w:szCs w:val="22"/>
        </w:rPr>
        <w:t>ros</w:t>
      </w:r>
      <w:r w:rsidR="007A07A3" w:rsidRPr="0010460E">
        <w:rPr>
          <w:sz w:val="22"/>
          <w:szCs w:val="22"/>
        </w:rPr>
        <w:t xml:space="preserve"> </w:t>
      </w:r>
      <w:r w:rsidR="001C551B" w:rsidRPr="0010460E">
        <w:rPr>
          <w:sz w:val="22"/>
          <w:szCs w:val="22"/>
        </w:rPr>
        <w:t>acumulados</w:t>
      </w:r>
      <w:r w:rsidR="007A07A3" w:rsidRPr="0010460E">
        <w:rPr>
          <w:sz w:val="22"/>
          <w:szCs w:val="22"/>
        </w:rPr>
        <w:t xml:space="preserve"> a contar del 1° de enero de 2017</w:t>
      </w:r>
      <w:r w:rsidR="009A455B" w:rsidRPr="0010460E">
        <w:rPr>
          <w:sz w:val="22"/>
          <w:szCs w:val="22"/>
        </w:rPr>
        <w:t>,</w:t>
      </w:r>
      <w:r w:rsidR="007A07A3" w:rsidRPr="0010460E">
        <w:rPr>
          <w:sz w:val="22"/>
          <w:szCs w:val="22"/>
        </w:rPr>
        <w:t xml:space="preserve"> </w:t>
      </w:r>
      <w:r w:rsidR="00567CF0" w:rsidRPr="0010460E">
        <w:rPr>
          <w:sz w:val="22"/>
          <w:szCs w:val="22"/>
        </w:rPr>
        <w:t>o</w:t>
      </w:r>
      <w:r w:rsidR="007A07A3" w:rsidRPr="0010460E">
        <w:rPr>
          <w:sz w:val="22"/>
          <w:szCs w:val="22"/>
        </w:rPr>
        <w:t xml:space="preserve"> </w:t>
      </w:r>
      <w:r w:rsidR="009A455B" w:rsidRPr="0010460E">
        <w:rPr>
          <w:sz w:val="22"/>
          <w:szCs w:val="22"/>
        </w:rPr>
        <w:t xml:space="preserve">bien, a </w:t>
      </w:r>
      <w:r w:rsidR="007A07A3" w:rsidRPr="0010460E">
        <w:rPr>
          <w:sz w:val="22"/>
          <w:szCs w:val="22"/>
        </w:rPr>
        <w:t xml:space="preserve">créditos </w:t>
      </w:r>
      <w:r w:rsidR="001C551B" w:rsidRPr="0010460E">
        <w:rPr>
          <w:sz w:val="22"/>
          <w:szCs w:val="22"/>
        </w:rPr>
        <w:t>acumula</w:t>
      </w:r>
      <w:r w:rsidR="007A07A3" w:rsidRPr="0010460E">
        <w:rPr>
          <w:sz w:val="22"/>
          <w:szCs w:val="22"/>
        </w:rPr>
        <w:t>dos hasta el 31 de diciembre de 2016</w:t>
      </w:r>
      <w:r w:rsidR="00567CF0" w:rsidRPr="0010460E">
        <w:rPr>
          <w:rStyle w:val="Refdenotaalpie"/>
          <w:sz w:val="22"/>
          <w:szCs w:val="22"/>
        </w:rPr>
        <w:footnoteReference w:id="8"/>
      </w:r>
      <w:r w:rsidR="00260EC4" w:rsidRPr="0010460E">
        <w:rPr>
          <w:sz w:val="22"/>
          <w:szCs w:val="22"/>
        </w:rPr>
        <w:t>, asignándose en primer</w:t>
      </w:r>
      <w:r w:rsidR="00FC4ECF" w:rsidRPr="0010460E">
        <w:rPr>
          <w:sz w:val="22"/>
          <w:szCs w:val="22"/>
        </w:rPr>
        <w:t xml:space="preserve"> lugar</w:t>
      </w:r>
      <w:r w:rsidR="00260EC4" w:rsidRPr="0010460E">
        <w:rPr>
          <w:sz w:val="22"/>
          <w:szCs w:val="22"/>
        </w:rPr>
        <w:t xml:space="preserve"> los generados a contar del 1° de enero de 2017</w:t>
      </w:r>
      <w:r w:rsidR="007A07A3" w:rsidRPr="0010460E">
        <w:rPr>
          <w:sz w:val="22"/>
          <w:szCs w:val="22"/>
        </w:rPr>
        <w:t>.</w:t>
      </w:r>
    </w:p>
    <w:p w:rsidR="00C712CD" w:rsidRPr="0010460E" w:rsidRDefault="00C712CD" w:rsidP="00274B31">
      <w:pPr>
        <w:pStyle w:val="Prrafodelista"/>
        <w:tabs>
          <w:tab w:val="left" w:pos="567"/>
        </w:tabs>
        <w:spacing w:after="240"/>
        <w:ind w:left="284" w:right="-22"/>
        <w:jc w:val="both"/>
        <w:rPr>
          <w:sz w:val="22"/>
          <w:szCs w:val="22"/>
        </w:rPr>
      </w:pPr>
    </w:p>
    <w:p w:rsidR="007A07A3" w:rsidRPr="0010460E" w:rsidRDefault="000356AE" w:rsidP="00274B31">
      <w:pPr>
        <w:pStyle w:val="Prrafodelista"/>
        <w:spacing w:after="240"/>
        <w:ind w:left="284" w:right="-22"/>
        <w:jc w:val="both"/>
        <w:rPr>
          <w:sz w:val="22"/>
          <w:szCs w:val="22"/>
        </w:rPr>
      </w:pPr>
      <w:r w:rsidRPr="0010460E">
        <w:rPr>
          <w:sz w:val="22"/>
          <w:szCs w:val="22"/>
        </w:rPr>
        <w:t>L</w:t>
      </w:r>
      <w:r w:rsidR="007A07A3" w:rsidRPr="0010460E">
        <w:rPr>
          <w:sz w:val="22"/>
          <w:szCs w:val="22"/>
        </w:rPr>
        <w:t xml:space="preserve">os créditos </w:t>
      </w:r>
      <w:r w:rsidR="00FC463F" w:rsidRPr="0010460E">
        <w:rPr>
          <w:sz w:val="22"/>
          <w:szCs w:val="22"/>
        </w:rPr>
        <w:t>acumul</w:t>
      </w:r>
      <w:r w:rsidR="007A07A3" w:rsidRPr="0010460E">
        <w:rPr>
          <w:sz w:val="22"/>
          <w:szCs w:val="22"/>
        </w:rPr>
        <w:t xml:space="preserve">ados hasta el 31 de diciembre de 2016 </w:t>
      </w:r>
      <w:r w:rsidRPr="0010460E">
        <w:rPr>
          <w:sz w:val="22"/>
          <w:szCs w:val="22"/>
        </w:rPr>
        <w:t>serán</w:t>
      </w:r>
      <w:r w:rsidR="002A3F39" w:rsidRPr="0010460E">
        <w:rPr>
          <w:sz w:val="22"/>
          <w:szCs w:val="22"/>
        </w:rPr>
        <w:t xml:space="preserve"> asignados con una tasa efectiva</w:t>
      </w:r>
      <w:r w:rsidR="000C55F2" w:rsidRPr="0010460E">
        <w:rPr>
          <w:sz w:val="22"/>
          <w:szCs w:val="22"/>
        </w:rPr>
        <w:t xml:space="preserve"> </w:t>
      </w:r>
      <w:r w:rsidRPr="0010460E">
        <w:rPr>
          <w:sz w:val="22"/>
          <w:szCs w:val="22"/>
        </w:rPr>
        <w:t xml:space="preserve">determinada al inicio de cada ejercicio, </w:t>
      </w:r>
      <w:r w:rsidR="000C55F2" w:rsidRPr="0010460E">
        <w:rPr>
          <w:sz w:val="22"/>
          <w:szCs w:val="22"/>
        </w:rPr>
        <w:t>a contar del 1° de enero de 2017</w:t>
      </w:r>
      <w:r w:rsidRPr="0010460E">
        <w:rPr>
          <w:sz w:val="22"/>
          <w:szCs w:val="22"/>
        </w:rPr>
        <w:t xml:space="preserve">, y su cálculo se efectuará </w:t>
      </w:r>
      <w:r w:rsidR="002A3F39" w:rsidRPr="0010460E">
        <w:rPr>
          <w:sz w:val="22"/>
          <w:szCs w:val="22"/>
        </w:rPr>
        <w:t>en los mismos términos que la tasa TEF</w:t>
      </w:r>
      <w:r w:rsidR="00B47108" w:rsidRPr="0010460E">
        <w:rPr>
          <w:rStyle w:val="Refdenotaalpie"/>
          <w:sz w:val="22"/>
          <w:szCs w:val="22"/>
        </w:rPr>
        <w:footnoteReference w:id="9"/>
      </w:r>
      <w:r w:rsidR="002A3F39" w:rsidRPr="0010460E">
        <w:rPr>
          <w:sz w:val="22"/>
          <w:szCs w:val="22"/>
        </w:rPr>
        <w:t xml:space="preserve"> vinculada con los créditos </w:t>
      </w:r>
      <w:r w:rsidR="00355E4B" w:rsidRPr="0010460E">
        <w:rPr>
          <w:sz w:val="22"/>
          <w:szCs w:val="22"/>
        </w:rPr>
        <w:t xml:space="preserve">por IDPC </w:t>
      </w:r>
      <w:r w:rsidR="002A3F39" w:rsidRPr="0010460E">
        <w:rPr>
          <w:sz w:val="22"/>
          <w:szCs w:val="22"/>
        </w:rPr>
        <w:t>de</w:t>
      </w:r>
      <w:r w:rsidR="00AE3DED" w:rsidRPr="0010460E">
        <w:rPr>
          <w:sz w:val="22"/>
          <w:szCs w:val="22"/>
        </w:rPr>
        <w:t>l</w:t>
      </w:r>
      <w:r w:rsidR="002A3F39" w:rsidRPr="0010460E">
        <w:rPr>
          <w:sz w:val="22"/>
          <w:szCs w:val="22"/>
        </w:rPr>
        <w:t xml:space="preserve"> registro FUT</w:t>
      </w:r>
      <w:r w:rsidR="00B47108" w:rsidRPr="0010460E">
        <w:rPr>
          <w:rStyle w:val="Refdenotaalpie"/>
          <w:sz w:val="22"/>
          <w:szCs w:val="22"/>
        </w:rPr>
        <w:footnoteReference w:id="10"/>
      </w:r>
      <w:r w:rsidR="00B47108" w:rsidRPr="0010460E">
        <w:rPr>
          <w:sz w:val="22"/>
          <w:szCs w:val="22"/>
        </w:rPr>
        <w:t xml:space="preserve"> </w:t>
      </w:r>
      <w:r w:rsidR="00B47108" w:rsidRPr="0010460E">
        <w:rPr>
          <w:sz w:val="22"/>
          <w:szCs w:val="22"/>
        </w:rPr>
        <w:lastRenderedPageBreak/>
        <w:t>STC</w:t>
      </w:r>
      <w:r w:rsidR="000C55F2" w:rsidRPr="0010460E">
        <w:rPr>
          <w:rStyle w:val="Refdenotaalpie"/>
          <w:sz w:val="22"/>
          <w:szCs w:val="22"/>
        </w:rPr>
        <w:footnoteReference w:id="11"/>
      </w:r>
      <w:r w:rsidR="00B47108" w:rsidRPr="0010460E">
        <w:rPr>
          <w:sz w:val="22"/>
          <w:szCs w:val="22"/>
        </w:rPr>
        <w:t>/STUT</w:t>
      </w:r>
      <w:r w:rsidR="000C55F2" w:rsidRPr="0010460E">
        <w:rPr>
          <w:rStyle w:val="Refdenotaalpie"/>
          <w:sz w:val="22"/>
          <w:szCs w:val="22"/>
        </w:rPr>
        <w:footnoteReference w:id="12"/>
      </w:r>
      <w:r w:rsidR="00B47108" w:rsidRPr="0010460E">
        <w:rPr>
          <w:sz w:val="22"/>
          <w:szCs w:val="22"/>
        </w:rPr>
        <w:t>)</w:t>
      </w:r>
      <w:r w:rsidR="002A3F39" w:rsidRPr="0010460E">
        <w:rPr>
          <w:sz w:val="22"/>
          <w:szCs w:val="22"/>
        </w:rPr>
        <w:t xml:space="preserve">, sólo que, estos créditos están vinculados </w:t>
      </w:r>
      <w:r w:rsidR="00AF749E" w:rsidRPr="0010460E">
        <w:rPr>
          <w:sz w:val="22"/>
          <w:szCs w:val="22"/>
        </w:rPr>
        <w:t>con</w:t>
      </w:r>
      <w:r w:rsidR="002A3F39" w:rsidRPr="0010460E">
        <w:rPr>
          <w:sz w:val="22"/>
          <w:szCs w:val="22"/>
        </w:rPr>
        <w:t xml:space="preserve"> l</w:t>
      </w:r>
      <w:r w:rsidR="00355E4B" w:rsidRPr="0010460E">
        <w:rPr>
          <w:sz w:val="22"/>
          <w:szCs w:val="22"/>
        </w:rPr>
        <w:t>as rentas exentas incluidas</w:t>
      </w:r>
      <w:r w:rsidR="002A3F39" w:rsidRPr="0010460E">
        <w:rPr>
          <w:sz w:val="22"/>
          <w:szCs w:val="22"/>
        </w:rPr>
        <w:t xml:space="preserve"> en el registro FUNT</w:t>
      </w:r>
      <w:r w:rsidR="00B47108" w:rsidRPr="0010460E">
        <w:rPr>
          <w:rStyle w:val="Refdenotaalpie"/>
          <w:sz w:val="22"/>
          <w:szCs w:val="22"/>
        </w:rPr>
        <w:footnoteReference w:id="13"/>
      </w:r>
      <w:r w:rsidRPr="0010460E">
        <w:rPr>
          <w:sz w:val="22"/>
          <w:szCs w:val="22"/>
        </w:rPr>
        <w:t xml:space="preserve"> o REX</w:t>
      </w:r>
      <w:r w:rsidR="002A3F39" w:rsidRPr="0010460E">
        <w:rPr>
          <w:sz w:val="22"/>
          <w:szCs w:val="22"/>
        </w:rPr>
        <w:t>.</w:t>
      </w:r>
    </w:p>
    <w:p w:rsidR="00C712CD" w:rsidRPr="0010460E" w:rsidRDefault="00C712CD" w:rsidP="00274B31">
      <w:pPr>
        <w:pStyle w:val="Prrafodelista"/>
        <w:tabs>
          <w:tab w:val="left" w:pos="567"/>
        </w:tabs>
        <w:spacing w:after="240"/>
        <w:ind w:left="284" w:right="-22"/>
        <w:jc w:val="both"/>
        <w:rPr>
          <w:sz w:val="22"/>
          <w:szCs w:val="22"/>
        </w:rPr>
      </w:pPr>
    </w:p>
    <w:p w:rsidR="002A3F39" w:rsidRPr="0010460E" w:rsidRDefault="002A3F39" w:rsidP="00274B31">
      <w:pPr>
        <w:pStyle w:val="Prrafodelista"/>
        <w:tabs>
          <w:tab w:val="left" w:pos="567"/>
        </w:tabs>
        <w:spacing w:after="240"/>
        <w:ind w:left="284" w:right="-22"/>
        <w:jc w:val="both"/>
        <w:rPr>
          <w:sz w:val="22"/>
          <w:szCs w:val="22"/>
        </w:rPr>
      </w:pPr>
      <w:r w:rsidRPr="0010460E">
        <w:rPr>
          <w:sz w:val="22"/>
          <w:szCs w:val="22"/>
        </w:rPr>
        <w:t xml:space="preserve">Por lo tanto, las empresas </w:t>
      </w:r>
      <w:r w:rsidR="00AF749E" w:rsidRPr="0010460E">
        <w:rPr>
          <w:sz w:val="22"/>
          <w:szCs w:val="22"/>
        </w:rPr>
        <w:t xml:space="preserve">receptoras </w:t>
      </w:r>
      <w:r w:rsidRPr="0010460E">
        <w:rPr>
          <w:sz w:val="22"/>
          <w:szCs w:val="22"/>
        </w:rPr>
        <w:t xml:space="preserve">de </w:t>
      </w:r>
      <w:r w:rsidR="00AE54D0" w:rsidRPr="0010460E">
        <w:rPr>
          <w:sz w:val="22"/>
          <w:szCs w:val="22"/>
        </w:rPr>
        <w:t>los</w:t>
      </w:r>
      <w:r w:rsidRPr="0010460E">
        <w:rPr>
          <w:sz w:val="22"/>
          <w:szCs w:val="22"/>
        </w:rPr>
        <w:t xml:space="preserve"> dividendos</w:t>
      </w:r>
      <w:r w:rsidR="00AF749E" w:rsidRPr="0010460E">
        <w:rPr>
          <w:sz w:val="22"/>
          <w:szCs w:val="22"/>
        </w:rPr>
        <w:t xml:space="preserve"> exentos del artículo 11 de la L</w:t>
      </w:r>
      <w:r w:rsidRPr="0010460E">
        <w:rPr>
          <w:sz w:val="22"/>
          <w:szCs w:val="22"/>
        </w:rPr>
        <w:t>ey N° 18.401, deberán calcula</w:t>
      </w:r>
      <w:r w:rsidR="00355E4B" w:rsidRPr="0010460E">
        <w:rPr>
          <w:sz w:val="22"/>
          <w:szCs w:val="22"/>
        </w:rPr>
        <w:t>r</w:t>
      </w:r>
      <w:r w:rsidRPr="0010460E">
        <w:rPr>
          <w:sz w:val="22"/>
          <w:szCs w:val="22"/>
        </w:rPr>
        <w:t xml:space="preserve"> una tasa </w:t>
      </w:r>
      <w:r w:rsidR="004B2750" w:rsidRPr="0010460E">
        <w:rPr>
          <w:sz w:val="22"/>
          <w:szCs w:val="22"/>
        </w:rPr>
        <w:t>efectiva (</w:t>
      </w:r>
      <w:r w:rsidRPr="0010460E">
        <w:rPr>
          <w:sz w:val="22"/>
          <w:szCs w:val="22"/>
        </w:rPr>
        <w:t>TE</w:t>
      </w:r>
      <w:r w:rsidR="004B2750" w:rsidRPr="0010460E">
        <w:rPr>
          <w:sz w:val="22"/>
          <w:szCs w:val="22"/>
        </w:rPr>
        <w:t>X)</w:t>
      </w:r>
      <w:r w:rsidRPr="0010460E">
        <w:rPr>
          <w:sz w:val="22"/>
          <w:szCs w:val="22"/>
        </w:rPr>
        <w:t xml:space="preserve"> por las rentas acumuladas en el </w:t>
      </w:r>
      <w:r w:rsidR="00355E4B" w:rsidRPr="0010460E">
        <w:rPr>
          <w:sz w:val="22"/>
          <w:szCs w:val="22"/>
        </w:rPr>
        <w:t xml:space="preserve">registro </w:t>
      </w:r>
      <w:r w:rsidRPr="0010460E">
        <w:rPr>
          <w:sz w:val="22"/>
          <w:szCs w:val="22"/>
        </w:rPr>
        <w:t xml:space="preserve">FUNT </w:t>
      </w:r>
      <w:r w:rsidR="00AE3DED" w:rsidRPr="0010460E">
        <w:rPr>
          <w:sz w:val="22"/>
          <w:szCs w:val="22"/>
        </w:rPr>
        <w:t xml:space="preserve">al 31 de diciembre de 2016, </w:t>
      </w:r>
      <w:r w:rsidRPr="0010460E">
        <w:rPr>
          <w:sz w:val="22"/>
          <w:szCs w:val="22"/>
        </w:rPr>
        <w:t xml:space="preserve">que tenían derecho al crédito por IDPC a que se refiere </w:t>
      </w:r>
      <w:r w:rsidR="005E18E3" w:rsidRPr="0010460E">
        <w:rPr>
          <w:sz w:val="22"/>
          <w:szCs w:val="22"/>
        </w:rPr>
        <w:t>e</w:t>
      </w:r>
      <w:r w:rsidRPr="0010460E">
        <w:rPr>
          <w:sz w:val="22"/>
          <w:szCs w:val="22"/>
        </w:rPr>
        <w:t>l artículo 56 N° 3</w:t>
      </w:r>
      <w:r w:rsidR="005E18E3" w:rsidRPr="0010460E">
        <w:rPr>
          <w:sz w:val="22"/>
          <w:szCs w:val="22"/>
        </w:rPr>
        <w:t xml:space="preserve"> </w:t>
      </w:r>
      <w:r w:rsidRPr="0010460E">
        <w:rPr>
          <w:sz w:val="22"/>
          <w:szCs w:val="22"/>
        </w:rPr>
        <w:t>de la LIR. Para tales efectos, la tasa efectiva corresponderá a la que se determine al dividir el total de</w:t>
      </w:r>
      <w:r w:rsidR="00AE3DED" w:rsidRPr="0010460E">
        <w:rPr>
          <w:sz w:val="22"/>
          <w:szCs w:val="22"/>
        </w:rPr>
        <w:t>l crédito por IDPC acumulado a la fecha señalada</w:t>
      </w:r>
      <w:r w:rsidRPr="0010460E">
        <w:rPr>
          <w:sz w:val="22"/>
          <w:szCs w:val="22"/>
        </w:rPr>
        <w:t xml:space="preserve"> en el registro FUNT por el total de rentas exentas </w:t>
      </w:r>
      <w:r w:rsidR="00355E4B" w:rsidRPr="0010460E">
        <w:rPr>
          <w:sz w:val="22"/>
          <w:szCs w:val="22"/>
        </w:rPr>
        <w:t>asociadas y controladas en el mismo registro</w:t>
      </w:r>
      <w:r w:rsidR="00A63B57" w:rsidRPr="0010460E">
        <w:rPr>
          <w:sz w:val="22"/>
          <w:szCs w:val="22"/>
        </w:rPr>
        <w:t xml:space="preserve"> (CIDPC/FUNT)</w:t>
      </w:r>
      <w:r w:rsidR="00355E4B" w:rsidRPr="0010460E">
        <w:rPr>
          <w:sz w:val="22"/>
          <w:szCs w:val="22"/>
        </w:rPr>
        <w:t>.</w:t>
      </w:r>
    </w:p>
    <w:p w:rsidR="00413148" w:rsidRPr="0010460E" w:rsidRDefault="00413148" w:rsidP="00274B31">
      <w:pPr>
        <w:tabs>
          <w:tab w:val="left" w:pos="567"/>
        </w:tabs>
        <w:spacing w:after="240"/>
        <w:ind w:left="284" w:right="-22"/>
        <w:contextualSpacing/>
        <w:jc w:val="both"/>
        <w:rPr>
          <w:sz w:val="22"/>
          <w:szCs w:val="22"/>
        </w:rPr>
      </w:pPr>
      <w:r w:rsidRPr="0010460E">
        <w:rPr>
          <w:sz w:val="22"/>
          <w:szCs w:val="22"/>
        </w:rPr>
        <w:t xml:space="preserve">Por su parte, los créditos por IDPC asociados a las rentas exentas del artículo 11 de la Ley N° 18.401, </w:t>
      </w:r>
      <w:r w:rsidR="00FC463F" w:rsidRPr="0010460E">
        <w:rPr>
          <w:sz w:val="22"/>
          <w:szCs w:val="22"/>
        </w:rPr>
        <w:t>acumul</w:t>
      </w:r>
      <w:r w:rsidRPr="0010460E">
        <w:rPr>
          <w:sz w:val="22"/>
          <w:szCs w:val="22"/>
        </w:rPr>
        <w:t>ados a contar del 1° de enero de 2017, se asignarán con la tasa establecida en el N° 5, de la letra A) o N° 3, de la letra B), ambos del artículo 14 de la LIR, según sea el régimen al cual esté sujeto el contribuyente. Es decir, el crédito se asignará con factor 0,333333</w:t>
      </w:r>
      <w:r w:rsidRPr="0010460E">
        <w:rPr>
          <w:rStyle w:val="Refdenotaalpie"/>
          <w:sz w:val="22"/>
          <w:szCs w:val="22"/>
        </w:rPr>
        <w:footnoteReference w:id="14"/>
      </w:r>
      <w:r w:rsidRPr="0010460E">
        <w:rPr>
          <w:sz w:val="22"/>
          <w:szCs w:val="22"/>
        </w:rPr>
        <w:t xml:space="preserve"> o 0,369863</w:t>
      </w:r>
      <w:r w:rsidRPr="0010460E">
        <w:rPr>
          <w:rStyle w:val="Refdenotaalpie"/>
          <w:sz w:val="22"/>
          <w:szCs w:val="22"/>
        </w:rPr>
        <w:footnoteReference w:id="15"/>
      </w:r>
      <w:r w:rsidRPr="0010460E">
        <w:rPr>
          <w:sz w:val="22"/>
          <w:szCs w:val="22"/>
        </w:rPr>
        <w:t>, según corresponda</w:t>
      </w:r>
      <w:r w:rsidR="00B74298" w:rsidRPr="0010460E">
        <w:rPr>
          <w:rStyle w:val="Refdenotaalpie"/>
          <w:sz w:val="22"/>
          <w:szCs w:val="22"/>
        </w:rPr>
        <w:footnoteReference w:id="16"/>
      </w:r>
      <w:r w:rsidRPr="0010460E">
        <w:rPr>
          <w:sz w:val="22"/>
          <w:szCs w:val="22"/>
        </w:rPr>
        <w:t>.</w:t>
      </w:r>
    </w:p>
    <w:p w:rsidR="00413148" w:rsidRPr="0010460E" w:rsidRDefault="00413148" w:rsidP="00274B31">
      <w:pPr>
        <w:tabs>
          <w:tab w:val="left" w:pos="567"/>
        </w:tabs>
        <w:spacing w:after="240"/>
        <w:ind w:left="284" w:right="-22"/>
        <w:contextualSpacing/>
        <w:jc w:val="both"/>
        <w:rPr>
          <w:sz w:val="22"/>
          <w:szCs w:val="22"/>
        </w:rPr>
      </w:pPr>
    </w:p>
    <w:p w:rsidR="003236C4" w:rsidRPr="0010460E" w:rsidRDefault="00AE54D0" w:rsidP="00274B31">
      <w:pPr>
        <w:tabs>
          <w:tab w:val="left" w:pos="567"/>
        </w:tabs>
        <w:spacing w:after="240"/>
        <w:ind w:left="284" w:right="-22"/>
        <w:contextualSpacing/>
        <w:jc w:val="both"/>
        <w:rPr>
          <w:sz w:val="22"/>
          <w:szCs w:val="22"/>
        </w:rPr>
      </w:pPr>
      <w:r w:rsidRPr="0010460E">
        <w:rPr>
          <w:sz w:val="22"/>
          <w:szCs w:val="22"/>
        </w:rPr>
        <w:t>A continuación, se ilustra con un ejemplo lo instruido precedentemente</w:t>
      </w:r>
      <w:r w:rsidR="00BF6D7F" w:rsidRPr="0010460E">
        <w:rPr>
          <w:sz w:val="22"/>
          <w:szCs w:val="22"/>
        </w:rPr>
        <w:t xml:space="preserve"> para el caso de un contribuyente sujeto al régimen de imputación parcial de créditos. Sin embargo, se hacer presente que el tratamiento de estas partidas en el caso de los contribuyentes sujetos al régimen de renta </w:t>
      </w:r>
      <w:r w:rsidR="00BF6D7F" w:rsidRPr="0010460E">
        <w:rPr>
          <w:sz w:val="22"/>
          <w:szCs w:val="22"/>
        </w:rPr>
        <w:lastRenderedPageBreak/>
        <w:t>atribuida, será el mismo</w:t>
      </w:r>
      <w:r w:rsidRPr="0010460E">
        <w:rPr>
          <w:sz w:val="22"/>
          <w:szCs w:val="22"/>
        </w:rPr>
        <w:t>:</w:t>
      </w:r>
      <w:r w:rsidR="00701D49" w:rsidRPr="0010460E">
        <w:rPr>
          <w:noProof/>
          <w:sz w:val="22"/>
          <w:szCs w:val="22"/>
          <w:lang w:val="es-CL" w:eastAsia="es-CL"/>
        </w:rPr>
        <w:drawing>
          <wp:inline distT="0" distB="0" distL="0" distR="0">
            <wp:extent cx="5611191" cy="6392174"/>
            <wp:effectExtent l="0" t="0" r="889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67"/>
                    <a:stretch/>
                  </pic:blipFill>
                  <pic:spPr bwMode="auto">
                    <a:xfrm>
                      <a:off x="0" y="0"/>
                      <a:ext cx="5623409" cy="6406092"/>
                    </a:xfrm>
                    <a:prstGeom prst="rect">
                      <a:avLst/>
                    </a:prstGeom>
                    <a:noFill/>
                    <a:ln>
                      <a:noFill/>
                    </a:ln>
                    <a:extLst>
                      <a:ext uri="{53640926-AAD7-44D8-BBD7-CCE9431645EC}">
                        <a14:shadowObscured xmlns:a14="http://schemas.microsoft.com/office/drawing/2010/main"/>
                      </a:ext>
                    </a:extLst>
                  </pic:spPr>
                </pic:pic>
              </a:graphicData>
            </a:graphic>
          </wp:inline>
        </w:drawing>
      </w:r>
    </w:p>
    <w:p w:rsidR="00C712CD" w:rsidRPr="0010460E" w:rsidRDefault="00C712CD" w:rsidP="00274B31">
      <w:pPr>
        <w:tabs>
          <w:tab w:val="left" w:pos="567"/>
        </w:tabs>
        <w:spacing w:after="240"/>
        <w:ind w:left="284" w:right="-22"/>
        <w:contextualSpacing/>
        <w:jc w:val="both"/>
        <w:rPr>
          <w:sz w:val="22"/>
          <w:szCs w:val="22"/>
        </w:rPr>
      </w:pPr>
    </w:p>
    <w:p w:rsidR="0015744D" w:rsidRPr="0010460E" w:rsidRDefault="0015744D" w:rsidP="00274B31">
      <w:pPr>
        <w:tabs>
          <w:tab w:val="left" w:pos="567"/>
        </w:tabs>
        <w:spacing w:after="240"/>
        <w:ind w:left="284" w:right="-22"/>
        <w:contextualSpacing/>
        <w:jc w:val="both"/>
        <w:rPr>
          <w:sz w:val="22"/>
          <w:szCs w:val="22"/>
        </w:rPr>
      </w:pPr>
    </w:p>
    <w:p w:rsidR="00AE54D0" w:rsidRPr="0010460E" w:rsidRDefault="00AE54D0" w:rsidP="00274B31">
      <w:pPr>
        <w:tabs>
          <w:tab w:val="left" w:pos="567"/>
        </w:tabs>
        <w:spacing w:after="240"/>
        <w:ind w:left="284" w:right="-22"/>
        <w:contextualSpacing/>
        <w:jc w:val="both"/>
        <w:rPr>
          <w:sz w:val="22"/>
          <w:szCs w:val="22"/>
        </w:rPr>
      </w:pPr>
      <w:r w:rsidRPr="0010460E">
        <w:rPr>
          <w:sz w:val="22"/>
          <w:szCs w:val="22"/>
        </w:rPr>
        <w:t>En el caso que el contribuyente</w:t>
      </w:r>
      <w:r w:rsidR="00A63B57" w:rsidRPr="0010460E">
        <w:rPr>
          <w:sz w:val="22"/>
          <w:szCs w:val="22"/>
        </w:rPr>
        <w:t>, sujeto al régimen de renta atribuida o imputación parcial de créditos,</w:t>
      </w:r>
      <w:r w:rsidRPr="0010460E">
        <w:rPr>
          <w:sz w:val="22"/>
          <w:szCs w:val="22"/>
        </w:rPr>
        <w:t xml:space="preserve"> mantenga en el registro REX rentas exentas con crédito y rentas exentas sin crédito, el contribuyente imputará sus retiros o dividendos en primer lugar a aquellas rentas </w:t>
      </w:r>
      <w:r w:rsidR="00A63B57" w:rsidRPr="0010460E">
        <w:rPr>
          <w:sz w:val="22"/>
          <w:szCs w:val="22"/>
        </w:rPr>
        <w:t xml:space="preserve">exentas </w:t>
      </w:r>
      <w:r w:rsidRPr="0010460E">
        <w:rPr>
          <w:sz w:val="22"/>
          <w:szCs w:val="22"/>
        </w:rPr>
        <w:t>que tengan derecho al crédito por IDPC. En consecuencia, la imputación dent</w:t>
      </w:r>
      <w:r w:rsidR="00C43485" w:rsidRPr="0010460E">
        <w:rPr>
          <w:sz w:val="22"/>
          <w:szCs w:val="22"/>
        </w:rPr>
        <w:t>ro del registro REX comenzará por</w:t>
      </w:r>
      <w:r w:rsidRPr="0010460E">
        <w:rPr>
          <w:sz w:val="22"/>
          <w:szCs w:val="22"/>
        </w:rPr>
        <w:t xml:space="preserve"> aquellas que gozan de la exención establecida en el artículo 11 de la Ley N° 18.401.</w:t>
      </w:r>
    </w:p>
    <w:p w:rsidR="005C1B35" w:rsidRPr="0010460E" w:rsidRDefault="005C1B35" w:rsidP="00274B31">
      <w:pPr>
        <w:pStyle w:val="Prrafodelista"/>
        <w:numPr>
          <w:ilvl w:val="0"/>
          <w:numId w:val="22"/>
        </w:numPr>
        <w:tabs>
          <w:tab w:val="left" w:pos="284"/>
        </w:tabs>
        <w:spacing w:after="240"/>
        <w:ind w:left="709" w:right="-22"/>
        <w:jc w:val="both"/>
        <w:rPr>
          <w:b/>
          <w:sz w:val="22"/>
          <w:szCs w:val="22"/>
        </w:rPr>
      </w:pPr>
      <w:r w:rsidRPr="0010460E">
        <w:rPr>
          <w:b/>
          <w:sz w:val="22"/>
          <w:szCs w:val="22"/>
        </w:rPr>
        <w:t>CONCLUSIÓN:</w:t>
      </w:r>
    </w:p>
    <w:p w:rsidR="00723386" w:rsidRPr="0010460E" w:rsidRDefault="00723386" w:rsidP="00274B31">
      <w:pPr>
        <w:pStyle w:val="Prrafodelista"/>
        <w:tabs>
          <w:tab w:val="left" w:pos="284"/>
        </w:tabs>
        <w:spacing w:after="240"/>
        <w:ind w:left="709" w:right="-22"/>
        <w:jc w:val="both"/>
        <w:rPr>
          <w:b/>
          <w:sz w:val="22"/>
          <w:szCs w:val="22"/>
        </w:rPr>
      </w:pPr>
    </w:p>
    <w:p w:rsidR="005C1B35" w:rsidRPr="0010460E" w:rsidRDefault="00723386" w:rsidP="00274B31">
      <w:pPr>
        <w:pStyle w:val="Prrafodelista"/>
        <w:numPr>
          <w:ilvl w:val="0"/>
          <w:numId w:val="24"/>
        </w:numPr>
        <w:tabs>
          <w:tab w:val="left" w:pos="567"/>
        </w:tabs>
        <w:spacing w:after="240"/>
        <w:ind w:right="-22"/>
        <w:jc w:val="both"/>
        <w:rPr>
          <w:sz w:val="22"/>
          <w:szCs w:val="22"/>
        </w:rPr>
      </w:pPr>
      <w:r w:rsidRPr="0010460E">
        <w:rPr>
          <w:sz w:val="22"/>
          <w:szCs w:val="22"/>
        </w:rPr>
        <w:t xml:space="preserve">Los dividendos distribuidos por las instituciones a que se refiere el </w:t>
      </w:r>
      <w:r w:rsidR="00DE690E" w:rsidRPr="0010460E">
        <w:rPr>
          <w:sz w:val="22"/>
          <w:szCs w:val="22"/>
        </w:rPr>
        <w:t xml:space="preserve">artículo </w:t>
      </w:r>
      <w:r w:rsidRPr="0010460E">
        <w:rPr>
          <w:sz w:val="22"/>
          <w:szCs w:val="22"/>
        </w:rPr>
        <w:t xml:space="preserve">11 de la Ley N° 18.401, </w:t>
      </w:r>
      <w:r w:rsidR="002F24D7" w:rsidRPr="0010460E">
        <w:rPr>
          <w:sz w:val="22"/>
          <w:szCs w:val="22"/>
        </w:rPr>
        <w:t>que</w:t>
      </w:r>
      <w:r w:rsidRPr="0010460E">
        <w:rPr>
          <w:sz w:val="22"/>
          <w:szCs w:val="22"/>
        </w:rPr>
        <w:t xml:space="preserve"> correspond</w:t>
      </w:r>
      <w:r w:rsidR="002F24D7" w:rsidRPr="0010460E">
        <w:rPr>
          <w:sz w:val="22"/>
          <w:szCs w:val="22"/>
        </w:rPr>
        <w:t>a</w:t>
      </w:r>
      <w:r w:rsidRPr="0010460E">
        <w:rPr>
          <w:sz w:val="22"/>
          <w:szCs w:val="22"/>
        </w:rPr>
        <w:t>n a rentas gravada</w:t>
      </w:r>
      <w:r w:rsidR="008558D5" w:rsidRPr="0010460E">
        <w:rPr>
          <w:sz w:val="22"/>
          <w:szCs w:val="22"/>
        </w:rPr>
        <w:t>s con el IDPC tendrán derecho a</w:t>
      </w:r>
      <w:r w:rsidRPr="0010460E">
        <w:rPr>
          <w:sz w:val="22"/>
          <w:szCs w:val="22"/>
        </w:rPr>
        <w:t xml:space="preserve"> crédito por igual concepto</w:t>
      </w:r>
      <w:r w:rsidR="00694B29" w:rsidRPr="0010460E">
        <w:rPr>
          <w:sz w:val="22"/>
          <w:szCs w:val="22"/>
        </w:rPr>
        <w:t>,</w:t>
      </w:r>
      <w:r w:rsidRPr="0010460E">
        <w:rPr>
          <w:sz w:val="22"/>
          <w:szCs w:val="22"/>
        </w:rPr>
        <w:t xml:space="preserve"> de acuerdo a lo establecido en el artículo 56 N° 3 de la LIR, y gozarán del beneficio tributario consistente en </w:t>
      </w:r>
      <w:r w:rsidR="00694B29" w:rsidRPr="0010460E">
        <w:rPr>
          <w:sz w:val="22"/>
          <w:szCs w:val="22"/>
        </w:rPr>
        <w:t>la exención</w:t>
      </w:r>
      <w:r w:rsidRPr="0010460E">
        <w:rPr>
          <w:sz w:val="22"/>
          <w:szCs w:val="22"/>
        </w:rPr>
        <w:t xml:space="preserve"> del IGC</w:t>
      </w:r>
      <w:r w:rsidR="008558D5" w:rsidRPr="0010460E">
        <w:rPr>
          <w:sz w:val="22"/>
          <w:szCs w:val="22"/>
        </w:rPr>
        <w:t>, pero estarán afectos a IA</w:t>
      </w:r>
      <w:r w:rsidRPr="0010460E">
        <w:rPr>
          <w:sz w:val="22"/>
          <w:szCs w:val="22"/>
        </w:rPr>
        <w:t xml:space="preserve">. Esta franquicia sólo se mantendrá </w:t>
      </w:r>
      <w:r w:rsidR="00C92D89" w:rsidRPr="0010460E">
        <w:rPr>
          <w:sz w:val="22"/>
          <w:szCs w:val="22"/>
        </w:rPr>
        <w:t xml:space="preserve">hasta el 31 de diciembre del año en que </w:t>
      </w:r>
      <w:r w:rsidR="008558D5" w:rsidRPr="0010460E">
        <w:rPr>
          <w:sz w:val="22"/>
          <w:szCs w:val="22"/>
        </w:rPr>
        <w:t>la institución</w:t>
      </w:r>
      <w:r w:rsidRPr="0010460E">
        <w:rPr>
          <w:sz w:val="22"/>
          <w:szCs w:val="22"/>
        </w:rPr>
        <w:t xml:space="preserve"> respectiv</w:t>
      </w:r>
      <w:r w:rsidR="008558D5" w:rsidRPr="0010460E">
        <w:rPr>
          <w:sz w:val="22"/>
          <w:szCs w:val="22"/>
        </w:rPr>
        <w:t>a</w:t>
      </w:r>
      <w:r w:rsidRPr="0010460E">
        <w:rPr>
          <w:sz w:val="22"/>
          <w:szCs w:val="22"/>
        </w:rPr>
        <w:t xml:space="preserve"> mantenga </w:t>
      </w:r>
      <w:r w:rsidR="008558D5" w:rsidRPr="0010460E">
        <w:rPr>
          <w:sz w:val="22"/>
          <w:szCs w:val="22"/>
        </w:rPr>
        <w:t>la obligación subordinada</w:t>
      </w:r>
      <w:r w:rsidR="00C92D89" w:rsidRPr="0010460E">
        <w:rPr>
          <w:sz w:val="22"/>
          <w:szCs w:val="22"/>
        </w:rPr>
        <w:t xml:space="preserve"> con el Banco Central de Chile, según lo dispuesto en el inciso final del artículo 11 de la Ley N° 18.401.</w:t>
      </w:r>
    </w:p>
    <w:p w:rsidR="00915AB8" w:rsidRPr="0010460E" w:rsidRDefault="00915AB8" w:rsidP="00274B31">
      <w:pPr>
        <w:pStyle w:val="Prrafodelista"/>
        <w:tabs>
          <w:tab w:val="left" w:pos="567"/>
        </w:tabs>
        <w:spacing w:after="240"/>
        <w:ind w:left="502" w:right="-22"/>
        <w:jc w:val="both"/>
        <w:rPr>
          <w:sz w:val="22"/>
          <w:szCs w:val="22"/>
        </w:rPr>
      </w:pPr>
    </w:p>
    <w:p w:rsidR="000829A6" w:rsidRPr="0010460E" w:rsidRDefault="000829A6" w:rsidP="00274B31">
      <w:pPr>
        <w:pStyle w:val="Prrafodelista"/>
        <w:numPr>
          <w:ilvl w:val="0"/>
          <w:numId w:val="24"/>
        </w:numPr>
        <w:tabs>
          <w:tab w:val="left" w:pos="567"/>
        </w:tabs>
        <w:spacing w:after="240"/>
        <w:ind w:right="-22"/>
        <w:jc w:val="both"/>
        <w:rPr>
          <w:sz w:val="22"/>
          <w:szCs w:val="22"/>
        </w:rPr>
      </w:pPr>
      <w:r w:rsidRPr="0010460E">
        <w:rPr>
          <w:sz w:val="22"/>
          <w:szCs w:val="22"/>
        </w:rPr>
        <w:t xml:space="preserve">En el caso de los contribuyentes sujetos al régimen de </w:t>
      </w:r>
      <w:r w:rsidR="00BF6D7F" w:rsidRPr="0010460E">
        <w:rPr>
          <w:sz w:val="22"/>
          <w:szCs w:val="22"/>
        </w:rPr>
        <w:t xml:space="preserve">renta atribuida o al régimen </w:t>
      </w:r>
      <w:r w:rsidRPr="0010460E">
        <w:rPr>
          <w:sz w:val="22"/>
          <w:szCs w:val="22"/>
        </w:rPr>
        <w:t>imputación parcial de créditos, que perciban dividendos favorecidos con la exención del IGC de acuerdo al artículo 11 de la Ley N° 18.401, y con derecho a crédito por IDPC, deberán incorporar</w:t>
      </w:r>
      <w:r w:rsidR="00A63B57" w:rsidRPr="0010460E">
        <w:rPr>
          <w:sz w:val="22"/>
          <w:szCs w:val="22"/>
        </w:rPr>
        <w:t>los</w:t>
      </w:r>
      <w:r w:rsidRPr="0010460E">
        <w:rPr>
          <w:sz w:val="22"/>
          <w:szCs w:val="22"/>
        </w:rPr>
        <w:t xml:space="preserve"> en el registro REX en una columna separada, y el crédito correspondiente se incorporará al registro </w:t>
      </w:r>
      <w:r w:rsidRPr="0010460E">
        <w:rPr>
          <w:sz w:val="22"/>
          <w:szCs w:val="22"/>
        </w:rPr>
        <w:lastRenderedPageBreak/>
        <w:t>SAC también en una columna separa</w:t>
      </w:r>
      <w:r w:rsidR="00C92D89" w:rsidRPr="0010460E">
        <w:rPr>
          <w:sz w:val="22"/>
          <w:szCs w:val="22"/>
        </w:rPr>
        <w:t>da</w:t>
      </w:r>
      <w:r w:rsidRPr="0010460E">
        <w:rPr>
          <w:sz w:val="22"/>
          <w:szCs w:val="22"/>
        </w:rPr>
        <w:t>, el cual sólo se asignará a l</w:t>
      </w:r>
      <w:r w:rsidR="004452D6" w:rsidRPr="0010460E">
        <w:rPr>
          <w:sz w:val="22"/>
          <w:szCs w:val="22"/>
        </w:rPr>
        <w:t>os retiros o dividendos imputado</w:t>
      </w:r>
      <w:r w:rsidRPr="0010460E">
        <w:rPr>
          <w:sz w:val="22"/>
          <w:szCs w:val="22"/>
        </w:rPr>
        <w:t>s a las rentas exentas con las cuales se encuentran vinculados.</w:t>
      </w:r>
    </w:p>
    <w:p w:rsidR="00A63B57" w:rsidRPr="0010460E" w:rsidRDefault="00A63B57" w:rsidP="00274B31">
      <w:pPr>
        <w:pStyle w:val="Prrafodelista"/>
        <w:tabs>
          <w:tab w:val="left" w:pos="567"/>
        </w:tabs>
        <w:spacing w:after="240"/>
        <w:ind w:left="502" w:right="-22"/>
        <w:jc w:val="both"/>
        <w:rPr>
          <w:sz w:val="22"/>
          <w:szCs w:val="22"/>
        </w:rPr>
      </w:pPr>
    </w:p>
    <w:p w:rsidR="00A63B57" w:rsidRPr="0010460E" w:rsidRDefault="00A63B57" w:rsidP="00274B31">
      <w:pPr>
        <w:pStyle w:val="Prrafodelista"/>
        <w:numPr>
          <w:ilvl w:val="0"/>
          <w:numId w:val="24"/>
        </w:numPr>
        <w:tabs>
          <w:tab w:val="left" w:pos="567"/>
        </w:tabs>
        <w:spacing w:after="240"/>
        <w:ind w:right="-22"/>
        <w:jc w:val="both"/>
        <w:rPr>
          <w:sz w:val="22"/>
          <w:szCs w:val="22"/>
        </w:rPr>
      </w:pPr>
      <w:r w:rsidRPr="0010460E">
        <w:rPr>
          <w:sz w:val="22"/>
          <w:szCs w:val="22"/>
        </w:rPr>
        <w:t>En el caso que l</w:t>
      </w:r>
      <w:r w:rsidR="005E18E3" w:rsidRPr="0010460E">
        <w:rPr>
          <w:sz w:val="22"/>
          <w:szCs w:val="22"/>
        </w:rPr>
        <w:t>os</w:t>
      </w:r>
      <w:r w:rsidRPr="0010460E">
        <w:rPr>
          <w:sz w:val="22"/>
          <w:szCs w:val="22"/>
        </w:rPr>
        <w:t xml:space="preserve"> contribuyente</w:t>
      </w:r>
      <w:r w:rsidR="005E18E3" w:rsidRPr="0010460E">
        <w:rPr>
          <w:sz w:val="22"/>
          <w:szCs w:val="22"/>
        </w:rPr>
        <w:t>s señalados</w:t>
      </w:r>
      <w:r w:rsidRPr="0010460E">
        <w:rPr>
          <w:sz w:val="22"/>
          <w:szCs w:val="22"/>
        </w:rPr>
        <w:t>, mantenga</w:t>
      </w:r>
      <w:r w:rsidR="001874DA" w:rsidRPr="0010460E">
        <w:rPr>
          <w:sz w:val="22"/>
          <w:szCs w:val="22"/>
        </w:rPr>
        <w:t>n</w:t>
      </w:r>
      <w:r w:rsidRPr="0010460E">
        <w:rPr>
          <w:sz w:val="22"/>
          <w:szCs w:val="22"/>
        </w:rPr>
        <w:t xml:space="preserve"> en el registro REX rentas exentas con crédito y rentas exentas sin crédito, </w:t>
      </w:r>
      <w:r w:rsidR="00DE690E" w:rsidRPr="0010460E">
        <w:rPr>
          <w:sz w:val="22"/>
          <w:szCs w:val="22"/>
        </w:rPr>
        <w:t>los</w:t>
      </w:r>
      <w:r w:rsidRPr="0010460E">
        <w:rPr>
          <w:sz w:val="22"/>
          <w:szCs w:val="22"/>
        </w:rPr>
        <w:t xml:space="preserve"> retiros o dividendos </w:t>
      </w:r>
      <w:r w:rsidR="00DE690E" w:rsidRPr="0010460E">
        <w:rPr>
          <w:sz w:val="22"/>
          <w:szCs w:val="22"/>
        </w:rPr>
        <w:t xml:space="preserve">se imputarán </w:t>
      </w:r>
      <w:r w:rsidRPr="0010460E">
        <w:rPr>
          <w:sz w:val="22"/>
          <w:szCs w:val="22"/>
        </w:rPr>
        <w:t>en primer lugar</w:t>
      </w:r>
      <w:r w:rsidR="00DE690E" w:rsidRPr="0010460E">
        <w:rPr>
          <w:sz w:val="22"/>
          <w:szCs w:val="22"/>
        </w:rPr>
        <w:t>,</w:t>
      </w:r>
      <w:r w:rsidRPr="0010460E">
        <w:rPr>
          <w:sz w:val="22"/>
          <w:szCs w:val="22"/>
        </w:rPr>
        <w:t xml:space="preserve"> a las rentas exentas que tengan derecho al crédito por IDPC. En consecuencia, la imputación dentro del registro REX comenzará por aquellas que gozan de la exención establecida en el artículo 11 de la Ley N° 18.401.</w:t>
      </w:r>
    </w:p>
    <w:p w:rsidR="005E18E3" w:rsidRPr="0010460E" w:rsidRDefault="005E18E3" w:rsidP="00274B31">
      <w:pPr>
        <w:pStyle w:val="Prrafodelista"/>
        <w:ind w:right="-22"/>
        <w:rPr>
          <w:sz w:val="22"/>
          <w:szCs w:val="22"/>
        </w:rPr>
      </w:pPr>
    </w:p>
    <w:p w:rsidR="005E18E3" w:rsidRPr="0010460E" w:rsidRDefault="005E18E3" w:rsidP="00274B31">
      <w:pPr>
        <w:pStyle w:val="Prrafodelista"/>
        <w:numPr>
          <w:ilvl w:val="0"/>
          <w:numId w:val="24"/>
        </w:numPr>
        <w:tabs>
          <w:tab w:val="left" w:pos="567"/>
        </w:tabs>
        <w:spacing w:after="240"/>
        <w:ind w:right="-22"/>
        <w:jc w:val="both"/>
        <w:rPr>
          <w:sz w:val="22"/>
          <w:szCs w:val="22"/>
        </w:rPr>
      </w:pPr>
      <w:r w:rsidRPr="0010460E">
        <w:rPr>
          <w:sz w:val="22"/>
          <w:szCs w:val="22"/>
        </w:rPr>
        <w:t xml:space="preserve">Finalmente, el crédito por IDPC asociado a las rentas exentas </w:t>
      </w:r>
      <w:r w:rsidR="00A14006" w:rsidRPr="0010460E">
        <w:rPr>
          <w:sz w:val="22"/>
          <w:szCs w:val="22"/>
        </w:rPr>
        <w:t xml:space="preserve">acumulado </w:t>
      </w:r>
      <w:r w:rsidRPr="0010460E">
        <w:rPr>
          <w:sz w:val="22"/>
          <w:szCs w:val="22"/>
        </w:rPr>
        <w:t>a contar del 1° de enero de 2017, se asignará con la tasa de 25%</w:t>
      </w:r>
      <w:r w:rsidRPr="0010460E">
        <w:rPr>
          <w:rStyle w:val="Refdenotaalpie"/>
          <w:sz w:val="22"/>
          <w:szCs w:val="22"/>
        </w:rPr>
        <w:footnoteReference w:id="17"/>
      </w:r>
      <w:r w:rsidRPr="0010460E">
        <w:rPr>
          <w:sz w:val="22"/>
          <w:szCs w:val="22"/>
        </w:rPr>
        <w:t xml:space="preserve"> o 27%</w:t>
      </w:r>
      <w:r w:rsidRPr="0010460E">
        <w:rPr>
          <w:rStyle w:val="Refdenotaalpie"/>
          <w:sz w:val="22"/>
          <w:szCs w:val="22"/>
        </w:rPr>
        <w:footnoteReference w:id="18"/>
      </w:r>
      <w:r w:rsidRPr="0010460E">
        <w:rPr>
          <w:sz w:val="22"/>
          <w:szCs w:val="22"/>
        </w:rPr>
        <w:t xml:space="preserve"> dependiendo del régimen </w:t>
      </w:r>
      <w:r w:rsidR="00F17507" w:rsidRPr="0010460E">
        <w:rPr>
          <w:sz w:val="22"/>
          <w:szCs w:val="22"/>
        </w:rPr>
        <w:t xml:space="preserve">general </w:t>
      </w:r>
      <w:r w:rsidRPr="0010460E">
        <w:rPr>
          <w:sz w:val="22"/>
          <w:szCs w:val="22"/>
        </w:rPr>
        <w:t>de que se trate. En cambio, los créditos acumulados hasta el 31 de diciembre 2016</w:t>
      </w:r>
      <w:r w:rsidR="007109B9" w:rsidRPr="0010460E">
        <w:rPr>
          <w:sz w:val="22"/>
          <w:szCs w:val="22"/>
        </w:rPr>
        <w:t>,</w:t>
      </w:r>
      <w:r w:rsidRPr="0010460E">
        <w:rPr>
          <w:sz w:val="22"/>
          <w:szCs w:val="22"/>
        </w:rPr>
        <w:t xml:space="preserve"> se asignará con una tasa efectiva</w:t>
      </w:r>
      <w:r w:rsidR="00EE6706" w:rsidRPr="0010460E">
        <w:rPr>
          <w:sz w:val="22"/>
          <w:szCs w:val="22"/>
        </w:rPr>
        <w:t xml:space="preserve"> (TEX)</w:t>
      </w:r>
      <w:r w:rsidRPr="0010460E">
        <w:rPr>
          <w:sz w:val="22"/>
          <w:szCs w:val="22"/>
        </w:rPr>
        <w:t xml:space="preserve"> determinada de la división del total de créditos asociados a rentas exentas por el total de rentas exentas del artículo 11 de la Ley N° 18.401</w:t>
      </w:r>
      <w:r w:rsidR="00FC4ECF" w:rsidRPr="0010460E">
        <w:rPr>
          <w:sz w:val="22"/>
          <w:szCs w:val="22"/>
        </w:rPr>
        <w:t xml:space="preserve">, </w:t>
      </w:r>
      <w:r w:rsidRPr="0010460E">
        <w:rPr>
          <w:sz w:val="22"/>
          <w:szCs w:val="22"/>
        </w:rPr>
        <w:t>contenidas en el registro FUNT o REX según corresponda.</w:t>
      </w:r>
      <w:r w:rsidR="00260EC4" w:rsidRPr="0010460E">
        <w:rPr>
          <w:sz w:val="22"/>
          <w:szCs w:val="22"/>
        </w:rPr>
        <w:t xml:space="preserve"> Cabe hacer presente, que los créditos por IDPC asociados a las rentas exentas del IGC se asignarán de acuerdo a las reglas generales. Es decir, en primer lugar, se asignan los créditos generados a contar de 1° de enero de 2017 y a continuación los créditos generados hasta el 31 de diciembre de 2016.</w:t>
      </w: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4D1F2F" w:rsidRPr="0010460E" w:rsidRDefault="004D1F2F" w:rsidP="00274B31">
      <w:pPr>
        <w:ind w:left="4391" w:right="-22" w:firstLine="565"/>
        <w:jc w:val="both"/>
        <w:rPr>
          <w:b/>
          <w:bCs/>
          <w:sz w:val="22"/>
          <w:szCs w:val="22"/>
          <w:lang w:val="es-CL" w:eastAsia="en-US"/>
        </w:rPr>
      </w:pPr>
    </w:p>
    <w:p w:rsidR="00540A8E" w:rsidRPr="0010460E" w:rsidRDefault="00E31C88" w:rsidP="00540A8E">
      <w:pPr>
        <w:ind w:left="4391" w:right="-22" w:firstLine="565"/>
        <w:jc w:val="both"/>
        <w:rPr>
          <w:b/>
          <w:bCs/>
          <w:sz w:val="22"/>
          <w:szCs w:val="22"/>
          <w:lang w:val="es-CL" w:eastAsia="en-US"/>
        </w:rPr>
      </w:pPr>
      <w:r w:rsidRPr="0010460E">
        <w:rPr>
          <w:b/>
          <w:bCs/>
          <w:sz w:val="22"/>
          <w:szCs w:val="22"/>
          <w:lang w:val="es-CL" w:eastAsia="en-US"/>
        </w:rPr>
        <w:t>FERNANDO BARRAZA LUENGO</w:t>
      </w:r>
      <w:r w:rsidRPr="0010460E">
        <w:rPr>
          <w:b/>
          <w:bCs/>
          <w:sz w:val="22"/>
          <w:szCs w:val="22"/>
          <w:lang w:val="es-CL" w:eastAsia="en-US"/>
        </w:rPr>
        <w:tab/>
      </w:r>
      <w:r w:rsidRPr="0010460E">
        <w:rPr>
          <w:b/>
          <w:bCs/>
          <w:sz w:val="22"/>
          <w:szCs w:val="22"/>
          <w:lang w:val="es-CL" w:eastAsia="en-US"/>
        </w:rPr>
        <w:tab/>
        <w:t xml:space="preserve">      </w:t>
      </w:r>
      <w:r w:rsidRPr="0010460E">
        <w:rPr>
          <w:b/>
          <w:bCs/>
          <w:sz w:val="22"/>
          <w:szCs w:val="22"/>
          <w:lang w:val="es-CL" w:eastAsia="en-US"/>
        </w:rPr>
        <w:tab/>
        <w:t xml:space="preserve">       DIRECTOR</w:t>
      </w:r>
    </w:p>
    <w:p w:rsidR="00540A8E" w:rsidRPr="0010460E" w:rsidRDefault="00540A8E" w:rsidP="00540A8E">
      <w:pPr>
        <w:ind w:right="-22"/>
        <w:jc w:val="both"/>
        <w:rPr>
          <w:b/>
          <w:bCs/>
          <w:sz w:val="22"/>
          <w:szCs w:val="22"/>
          <w:lang w:val="es-CL" w:eastAsia="en-US"/>
        </w:rPr>
      </w:pPr>
    </w:p>
    <w:p w:rsidR="00540A8E" w:rsidRPr="0010460E" w:rsidRDefault="00540A8E" w:rsidP="00540A8E">
      <w:pPr>
        <w:ind w:right="-22"/>
        <w:jc w:val="both"/>
        <w:rPr>
          <w:b/>
          <w:bCs/>
          <w:sz w:val="22"/>
          <w:szCs w:val="22"/>
          <w:lang w:val="es-CL" w:eastAsia="en-US"/>
        </w:rPr>
      </w:pPr>
    </w:p>
    <w:p w:rsidR="00540A8E" w:rsidRPr="0010460E" w:rsidRDefault="00540A8E" w:rsidP="00540A8E">
      <w:pPr>
        <w:pStyle w:val="NormalWeb"/>
        <w:jc w:val="center"/>
        <w:rPr>
          <w:color w:val="333333"/>
          <w:sz w:val="22"/>
          <w:szCs w:val="22"/>
        </w:rPr>
      </w:pPr>
      <w:r w:rsidRPr="0010460E">
        <w:rPr>
          <w:color w:val="333333"/>
          <w:sz w:val="22"/>
          <w:szCs w:val="22"/>
        </w:rPr>
        <w:t>Oficio Reservado N° 059, de 07.12.2018</w:t>
      </w:r>
    </w:p>
    <w:p w:rsidR="00540A8E" w:rsidRPr="0010460E" w:rsidRDefault="00540A8E" w:rsidP="00540A8E">
      <w:pPr>
        <w:pStyle w:val="NormalWeb"/>
        <w:jc w:val="center"/>
        <w:rPr>
          <w:color w:val="333333"/>
          <w:sz w:val="22"/>
          <w:szCs w:val="22"/>
        </w:rPr>
      </w:pPr>
      <w:r w:rsidRPr="0010460E">
        <w:rPr>
          <w:rStyle w:val="Textoennegrita"/>
          <w:color w:val="333333"/>
          <w:sz w:val="22"/>
          <w:szCs w:val="22"/>
        </w:rPr>
        <w:t>Subdirección Normativa</w:t>
      </w:r>
    </w:p>
    <w:p w:rsidR="00540A8E" w:rsidRPr="0010460E" w:rsidRDefault="00540A8E" w:rsidP="00540A8E">
      <w:pPr>
        <w:pStyle w:val="NormalWeb"/>
        <w:jc w:val="center"/>
        <w:rPr>
          <w:color w:val="333333"/>
          <w:sz w:val="22"/>
          <w:szCs w:val="22"/>
        </w:rPr>
      </w:pPr>
      <w:r w:rsidRPr="0010460E">
        <w:rPr>
          <w:color w:val="333333"/>
          <w:sz w:val="22"/>
          <w:szCs w:val="22"/>
        </w:rPr>
        <w:t>Dpto. de Impuestos Directos</w:t>
      </w:r>
    </w:p>
    <w:p w:rsidR="00540A8E" w:rsidRPr="0010460E" w:rsidRDefault="00540A8E" w:rsidP="00540A8E">
      <w:pPr>
        <w:ind w:right="-22"/>
        <w:jc w:val="center"/>
        <w:rPr>
          <w:b/>
          <w:bCs/>
          <w:sz w:val="22"/>
          <w:szCs w:val="22"/>
          <w:lang w:val="es-CL" w:eastAsia="en-US"/>
        </w:rPr>
      </w:pPr>
    </w:p>
    <w:bookmarkEnd w:id="0"/>
    <w:p w:rsidR="00AE54D0" w:rsidRPr="0010460E" w:rsidRDefault="00AE54D0" w:rsidP="00274B31">
      <w:pPr>
        <w:tabs>
          <w:tab w:val="left" w:pos="567"/>
        </w:tabs>
        <w:spacing w:after="240"/>
        <w:ind w:right="-22"/>
        <w:contextualSpacing/>
        <w:jc w:val="both"/>
        <w:rPr>
          <w:sz w:val="22"/>
          <w:szCs w:val="22"/>
        </w:rPr>
      </w:pPr>
    </w:p>
    <w:sectPr w:rsidR="00AE54D0" w:rsidRPr="0010460E" w:rsidSect="00F612F1">
      <w:footerReference w:type="default" r:id="rId9"/>
      <w:pgSz w:w="12240" w:h="18720" w:code="14"/>
      <w:pgMar w:top="1276" w:right="1701" w:bottom="1276" w:left="1701" w:header="709" w:footer="709"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A1" w:rsidRDefault="00B154A1">
      <w:r>
        <w:separator/>
      </w:r>
    </w:p>
  </w:endnote>
  <w:endnote w:type="continuationSeparator" w:id="0">
    <w:p w:rsidR="00B154A1" w:rsidRDefault="00B1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461321"/>
      <w:docPartObj>
        <w:docPartGallery w:val="Page Numbers (Bottom of Page)"/>
        <w:docPartUnique/>
      </w:docPartObj>
    </w:sdtPr>
    <w:sdtEndPr>
      <w:rPr>
        <w:sz w:val="20"/>
      </w:rPr>
    </w:sdtEndPr>
    <w:sdtContent>
      <w:p w:rsidR="00F612F1" w:rsidRPr="00F612F1" w:rsidRDefault="00F612F1">
        <w:pPr>
          <w:pStyle w:val="Piedepgina"/>
          <w:jc w:val="right"/>
          <w:rPr>
            <w:sz w:val="20"/>
          </w:rPr>
        </w:pPr>
        <w:r w:rsidRPr="00F612F1">
          <w:rPr>
            <w:sz w:val="20"/>
          </w:rPr>
          <w:fldChar w:fldCharType="begin"/>
        </w:r>
        <w:r w:rsidRPr="00F612F1">
          <w:rPr>
            <w:sz w:val="20"/>
          </w:rPr>
          <w:instrText>PAGE   \* MERGEFORMAT</w:instrText>
        </w:r>
        <w:r w:rsidRPr="00F612F1">
          <w:rPr>
            <w:sz w:val="20"/>
          </w:rPr>
          <w:fldChar w:fldCharType="separate"/>
        </w:r>
        <w:r w:rsidR="0010460E">
          <w:rPr>
            <w:noProof/>
            <w:sz w:val="20"/>
          </w:rPr>
          <w:t>5</w:t>
        </w:r>
        <w:r w:rsidRPr="00F612F1">
          <w:rPr>
            <w:sz w:val="20"/>
          </w:rPr>
          <w:fldChar w:fldCharType="end"/>
        </w:r>
      </w:p>
    </w:sdtContent>
  </w:sdt>
  <w:p w:rsidR="00146829" w:rsidRDefault="00146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A1" w:rsidRDefault="00B154A1">
      <w:r>
        <w:separator/>
      </w:r>
    </w:p>
  </w:footnote>
  <w:footnote w:type="continuationSeparator" w:id="0">
    <w:p w:rsidR="00B154A1" w:rsidRDefault="00B154A1">
      <w:r>
        <w:continuationSeparator/>
      </w:r>
    </w:p>
  </w:footnote>
  <w:footnote w:id="1">
    <w:p w:rsidR="00B95D26" w:rsidRPr="006B53AB" w:rsidRDefault="00B95D26"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Impuesto Global Complementario.</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2">
    <w:p w:rsidR="00564D4B" w:rsidRPr="006B53AB" w:rsidRDefault="00564D4B"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Impuesto de Primera Categoría.</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3">
    <w:p w:rsidR="007C551E" w:rsidRPr="006B53AB" w:rsidRDefault="007C551E"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Registro sobre rentas afectas a impuestos, establecido en la letra a), del N° 2, de la letra B), del artículo 14 de la LIR.</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4">
    <w:p w:rsidR="007C551E" w:rsidRPr="006B53AB" w:rsidRDefault="007C551E"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Registro sobre diferencia entre depreciación acelerada y normal, establecido en la letra b), del N° 2, de la letra B), del artículo 14 de la LIR.</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5">
    <w:p w:rsidR="00B95D26" w:rsidRPr="006B53AB" w:rsidRDefault="00B95D26"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Registro sobre saldo acumulado de créditos, establecido en la letra d), del N° 4, de la letra A), del artículo 14 de la LIR.</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6">
    <w:p w:rsidR="00B95D26" w:rsidRPr="006B53AB" w:rsidRDefault="00B95D26"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Impuesto Adicional.</w:t>
      </w:r>
    </w:p>
  </w:footnote>
  <w:footnote w:id="7">
    <w:p w:rsidR="000356AE" w:rsidRPr="006B53AB" w:rsidRDefault="000356AE"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Registro de rentas exentas e ingresos no renta.</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8">
    <w:p w:rsidR="00567CF0" w:rsidRPr="006B53AB" w:rsidRDefault="00567CF0"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w:t>
      </w:r>
      <w:r w:rsidR="00C1385C" w:rsidRPr="006B53AB">
        <w:rPr>
          <w:rFonts w:ascii="Times New Roman" w:hAnsi="Times New Roman"/>
          <w:sz w:val="16"/>
          <w:szCs w:val="16"/>
        </w:rPr>
        <w:t>En ambos casos t</w:t>
      </w:r>
      <w:r w:rsidRPr="006B53AB">
        <w:rPr>
          <w:rFonts w:ascii="Times New Roman" w:hAnsi="Times New Roman"/>
          <w:sz w:val="16"/>
          <w:szCs w:val="16"/>
        </w:rPr>
        <w:t>ambién se deberá distinguir si el crédito tiene o no derecho a devolución.</w:t>
      </w:r>
    </w:p>
  </w:footnote>
  <w:footnote w:id="9">
    <w:p w:rsidR="00B47108" w:rsidRPr="006B53AB" w:rsidRDefault="00B47108"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Tasa efectiva de FUT.</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10">
    <w:p w:rsidR="00B47108" w:rsidRPr="006B53AB" w:rsidRDefault="00B47108"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Fondo de utilidades tributables, cuyo saldo final al 31 de diciembre de 2016, junto a la diferencia registrada en el código [1023] del F22 AT. 2017, </w:t>
      </w:r>
      <w:r w:rsidR="00CD46A0" w:rsidRPr="006B53AB">
        <w:rPr>
          <w:rFonts w:ascii="Times New Roman" w:hAnsi="Times New Roman"/>
          <w:sz w:val="16"/>
          <w:szCs w:val="16"/>
        </w:rPr>
        <w:t>constituye saldo</w:t>
      </w:r>
      <w:r w:rsidRPr="006B53AB">
        <w:rPr>
          <w:rFonts w:ascii="Times New Roman" w:hAnsi="Times New Roman"/>
          <w:sz w:val="16"/>
          <w:szCs w:val="16"/>
        </w:rPr>
        <w:t xml:space="preserve"> inicial del registro RAI.</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11">
    <w:p w:rsidR="000C55F2" w:rsidRPr="006B53AB" w:rsidRDefault="000C55F2"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Saldo total de créditos.</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12">
    <w:p w:rsidR="000C55F2" w:rsidRPr="006B53AB" w:rsidRDefault="000C55F2"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Saldo total de utilidades tributables, que para el cálculo de la tasa TEF se considera neto del IDPC. Este saldo corresponde al total del FUT al 31.12.2016.</w:t>
      </w:r>
    </w:p>
    <w:p w:rsidR="00AA01E2" w:rsidRPr="006B53AB" w:rsidRDefault="00AA01E2" w:rsidP="006B53AB">
      <w:pPr>
        <w:pStyle w:val="Textonotapie"/>
        <w:spacing w:line="240" w:lineRule="atLeast"/>
        <w:contextualSpacing/>
        <w:rPr>
          <w:rFonts w:ascii="Times New Roman" w:hAnsi="Times New Roman"/>
          <w:sz w:val="16"/>
          <w:szCs w:val="16"/>
        </w:rPr>
      </w:pPr>
    </w:p>
  </w:footnote>
  <w:footnote w:id="13">
    <w:p w:rsidR="00B47108" w:rsidRPr="006B53AB" w:rsidRDefault="00B47108" w:rsidP="006B53AB">
      <w:pPr>
        <w:pStyle w:val="Textonotapie"/>
        <w:spacing w:line="240" w:lineRule="atLeast"/>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Fondo de utilidades no tributables, cuyo saldo final al 31 de diciembre de 2016, constituye saldo inicial del registro REX.</w:t>
      </w:r>
    </w:p>
    <w:p w:rsidR="00AA01E2" w:rsidRPr="006B53AB" w:rsidRDefault="00AA01E2">
      <w:pPr>
        <w:pStyle w:val="Textonotapie"/>
        <w:contextualSpacing/>
        <w:rPr>
          <w:rFonts w:ascii="Times New Roman" w:hAnsi="Times New Roman"/>
          <w:sz w:val="16"/>
          <w:szCs w:val="16"/>
        </w:rPr>
      </w:pPr>
    </w:p>
  </w:footnote>
  <w:footnote w:id="14">
    <w:p w:rsidR="00413148" w:rsidRPr="006B53AB" w:rsidRDefault="00413148">
      <w:pPr>
        <w:pStyle w:val="Textonotapie"/>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Factor correspondiente a la tasa del 25% en el caso de los contribuyentes sujetos al régimen de renta atribuida.</w:t>
      </w:r>
    </w:p>
    <w:p w:rsidR="00AA01E2" w:rsidRPr="006B53AB" w:rsidRDefault="00AA01E2">
      <w:pPr>
        <w:pStyle w:val="Textonotapie"/>
        <w:contextualSpacing/>
        <w:rPr>
          <w:rFonts w:ascii="Times New Roman" w:hAnsi="Times New Roman"/>
          <w:sz w:val="16"/>
          <w:szCs w:val="16"/>
        </w:rPr>
      </w:pPr>
    </w:p>
  </w:footnote>
  <w:footnote w:id="15">
    <w:p w:rsidR="00413148" w:rsidRPr="006B53AB" w:rsidRDefault="00413148">
      <w:pPr>
        <w:pStyle w:val="Textonotapie"/>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Factor correspondiente a la tasa del 27% en el caso de los contribuyentes sujetos al régimen de imputación parcial de créditos</w:t>
      </w:r>
      <w:r w:rsidR="00383451" w:rsidRPr="006B53AB">
        <w:rPr>
          <w:rFonts w:ascii="Times New Roman" w:hAnsi="Times New Roman"/>
          <w:sz w:val="16"/>
          <w:szCs w:val="16"/>
        </w:rPr>
        <w:t xml:space="preserve"> a contar del año comercial 2018</w:t>
      </w:r>
      <w:r w:rsidRPr="006B53AB">
        <w:rPr>
          <w:rFonts w:ascii="Times New Roman" w:hAnsi="Times New Roman"/>
          <w:sz w:val="16"/>
          <w:szCs w:val="16"/>
        </w:rPr>
        <w:t>.</w:t>
      </w:r>
      <w:r w:rsidR="00066742" w:rsidRPr="006B53AB">
        <w:rPr>
          <w:rFonts w:ascii="Times New Roman" w:hAnsi="Times New Roman"/>
          <w:sz w:val="16"/>
          <w:szCs w:val="16"/>
        </w:rPr>
        <w:t xml:space="preserve"> El factor será 0,342281 correspondiente a la tasa del 25,5% por el año comercial 2017.</w:t>
      </w:r>
    </w:p>
    <w:p w:rsidR="00AA01E2" w:rsidRPr="006B53AB" w:rsidRDefault="00AA01E2">
      <w:pPr>
        <w:pStyle w:val="Textonotapie"/>
        <w:contextualSpacing/>
        <w:rPr>
          <w:rFonts w:ascii="Times New Roman" w:hAnsi="Times New Roman"/>
          <w:sz w:val="16"/>
          <w:szCs w:val="16"/>
        </w:rPr>
      </w:pPr>
    </w:p>
  </w:footnote>
  <w:footnote w:id="16">
    <w:p w:rsidR="00B74298" w:rsidRPr="006B53AB" w:rsidRDefault="00B74298">
      <w:pPr>
        <w:pStyle w:val="Textonotapie"/>
        <w:contextualSpacing/>
        <w:rPr>
          <w:rFonts w:ascii="Times New Roman" w:hAnsi="Times New Roman"/>
          <w:sz w:val="16"/>
          <w:szCs w:val="16"/>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Con tope del registro SAC.</w:t>
      </w:r>
    </w:p>
  </w:footnote>
  <w:footnote w:id="17">
    <w:p w:rsidR="005E18E3" w:rsidRDefault="005E18E3">
      <w:pPr>
        <w:pStyle w:val="Textonotapie"/>
        <w:contextualSpacing/>
        <w:rPr>
          <w:rFonts w:ascii="Arial" w:hAnsi="Arial" w:cs="Arial"/>
          <w:sz w:val="18"/>
        </w:rPr>
      </w:pPr>
      <w:r w:rsidRPr="006B53AB">
        <w:rPr>
          <w:rStyle w:val="Refdenotaalpie"/>
          <w:rFonts w:ascii="Times New Roman" w:hAnsi="Times New Roman"/>
          <w:sz w:val="16"/>
          <w:szCs w:val="16"/>
        </w:rPr>
        <w:footnoteRef/>
      </w:r>
      <w:r w:rsidRPr="006B53AB">
        <w:rPr>
          <w:rFonts w:ascii="Times New Roman" w:hAnsi="Times New Roman"/>
          <w:sz w:val="16"/>
          <w:szCs w:val="16"/>
        </w:rPr>
        <w:t xml:space="preserve"> Factor 0,333333 (25/75) a contar del 1° d</w:t>
      </w:r>
      <w:r w:rsidRPr="004D1F2F">
        <w:rPr>
          <w:rFonts w:ascii="Arial" w:hAnsi="Arial" w:cs="Arial"/>
          <w:sz w:val="18"/>
        </w:rPr>
        <w:t>e enero de 2017.</w:t>
      </w:r>
    </w:p>
    <w:p w:rsidR="00AA01E2" w:rsidRPr="004D1F2F" w:rsidRDefault="00AA01E2">
      <w:pPr>
        <w:pStyle w:val="Textonotapie"/>
        <w:rPr>
          <w:rFonts w:ascii="Arial" w:hAnsi="Arial" w:cs="Arial"/>
          <w:sz w:val="18"/>
        </w:rPr>
      </w:pPr>
    </w:p>
  </w:footnote>
  <w:footnote w:id="18">
    <w:p w:rsidR="005E18E3" w:rsidRPr="004D1F2F" w:rsidRDefault="005E18E3">
      <w:pPr>
        <w:pStyle w:val="Textonotapie"/>
        <w:rPr>
          <w:rFonts w:ascii="Arial" w:hAnsi="Arial" w:cs="Arial"/>
          <w:sz w:val="18"/>
        </w:rPr>
      </w:pPr>
      <w:r w:rsidRPr="004D1F2F">
        <w:rPr>
          <w:rStyle w:val="Refdenotaalpie"/>
          <w:rFonts w:ascii="Arial" w:hAnsi="Arial" w:cs="Arial"/>
          <w:sz w:val="18"/>
        </w:rPr>
        <w:footnoteRef/>
      </w:r>
      <w:r w:rsidRPr="004D1F2F">
        <w:rPr>
          <w:rFonts w:ascii="Arial" w:hAnsi="Arial" w:cs="Arial"/>
          <w:sz w:val="18"/>
        </w:rPr>
        <w:t xml:space="preserve"> Factor 0,369863 (27/73) a contar del 1° de enero de 2018. Durante el año comercial 2016 el factor fue 0,342281 correspondiente a la tasa de 25,5%.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F00"/>
    <w:multiLevelType w:val="hybridMultilevel"/>
    <w:tmpl w:val="C3423D04"/>
    <w:lvl w:ilvl="0" w:tplc="E0CC6E8E">
      <w:numFmt w:val="bullet"/>
      <w:lvlText w:val="-"/>
      <w:lvlJc w:val="left"/>
      <w:pPr>
        <w:ind w:left="360" w:hanging="360"/>
      </w:pPr>
      <w:rPr>
        <w:rFonts w:ascii="Arial" w:eastAsia="Arial Unicode MS" w:hAnsi="Arial" w:cs="Times New Roman" w:hint="default"/>
      </w:rPr>
    </w:lvl>
    <w:lvl w:ilvl="1" w:tplc="340A0003">
      <w:start w:val="1"/>
      <w:numFmt w:val="bullet"/>
      <w:lvlText w:val="o"/>
      <w:lvlJc w:val="left"/>
      <w:pPr>
        <w:ind w:left="1080" w:hanging="360"/>
      </w:pPr>
      <w:rPr>
        <w:rFonts w:ascii="Courier New" w:hAnsi="Courier New" w:cs="Times New Roman"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Times New Roman"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Times New Roman"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10F83BEE"/>
    <w:multiLevelType w:val="hybridMultilevel"/>
    <w:tmpl w:val="05284250"/>
    <w:lvl w:ilvl="0" w:tplc="10D887C8">
      <w:start w:val="1"/>
      <w:numFmt w:val="decimal"/>
      <w:lvlText w:val="%1."/>
      <w:lvlJc w:val="left"/>
      <w:pPr>
        <w:ind w:left="720" w:hanging="360"/>
      </w:pPr>
      <w:rPr>
        <w:rFonts w:hint="default"/>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3D6C0A"/>
    <w:multiLevelType w:val="hybridMultilevel"/>
    <w:tmpl w:val="F9BEBB8A"/>
    <w:lvl w:ilvl="0" w:tplc="C97086B2">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Times New Roman"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Times New Roman"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Times New Roman"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2DD5C06"/>
    <w:multiLevelType w:val="hybridMultilevel"/>
    <w:tmpl w:val="3790FF5C"/>
    <w:lvl w:ilvl="0" w:tplc="EE086B4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9953BB"/>
    <w:multiLevelType w:val="hybridMultilevel"/>
    <w:tmpl w:val="CF76875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A60F34"/>
    <w:multiLevelType w:val="hybridMultilevel"/>
    <w:tmpl w:val="B6C414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BA7E8C"/>
    <w:multiLevelType w:val="hybridMultilevel"/>
    <w:tmpl w:val="47889EE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15:restartNumberingAfterBreak="0">
    <w:nsid w:val="1DA03864"/>
    <w:multiLevelType w:val="hybridMultilevel"/>
    <w:tmpl w:val="9DA8AA0E"/>
    <w:lvl w:ilvl="0" w:tplc="E0CC6E8E">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7F7006"/>
    <w:multiLevelType w:val="hybridMultilevel"/>
    <w:tmpl w:val="727A49B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E1D488D"/>
    <w:multiLevelType w:val="hybridMultilevel"/>
    <w:tmpl w:val="FC283C4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3C0C6F"/>
    <w:multiLevelType w:val="hybridMultilevel"/>
    <w:tmpl w:val="6AFCC5C2"/>
    <w:lvl w:ilvl="0" w:tplc="340A000F">
      <w:start w:val="1"/>
      <w:numFmt w:val="decimal"/>
      <w:lvlText w:val="%1."/>
      <w:lvlJc w:val="left"/>
      <w:pPr>
        <w:ind w:left="360" w:hanging="360"/>
      </w:pPr>
      <w:rPr>
        <w:rFonts w:hint="default"/>
        <w:b/>
        <w:color w:val="auto"/>
        <w:sz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1" w15:restartNumberingAfterBreak="0">
    <w:nsid w:val="32232251"/>
    <w:multiLevelType w:val="hybridMultilevel"/>
    <w:tmpl w:val="637CEF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4DB6B7B"/>
    <w:multiLevelType w:val="hybridMultilevel"/>
    <w:tmpl w:val="104688EA"/>
    <w:lvl w:ilvl="0" w:tplc="9F32A9A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36396F0A"/>
    <w:multiLevelType w:val="hybridMultilevel"/>
    <w:tmpl w:val="53C052EC"/>
    <w:lvl w:ilvl="0" w:tplc="340A0001">
      <w:start w:val="1"/>
      <w:numFmt w:val="bullet"/>
      <w:lvlText w:val=""/>
      <w:lvlJc w:val="left"/>
      <w:pPr>
        <w:ind w:left="644"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F1A182D"/>
    <w:multiLevelType w:val="hybridMultilevel"/>
    <w:tmpl w:val="D6923964"/>
    <w:lvl w:ilvl="0" w:tplc="BE043878">
      <w:start w:val="1"/>
      <w:numFmt w:val="upperLetter"/>
      <w:lvlText w:val="%1."/>
      <w:lvlJc w:val="left"/>
      <w:pPr>
        <w:ind w:left="930" w:hanging="57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05486E"/>
    <w:multiLevelType w:val="hybridMultilevel"/>
    <w:tmpl w:val="ED9881AE"/>
    <w:lvl w:ilvl="0" w:tplc="038EBCA0">
      <w:start w:val="1"/>
      <w:numFmt w:val="lowerLetter"/>
      <w:lvlText w:val="%1)"/>
      <w:lvlJc w:val="left"/>
      <w:pPr>
        <w:ind w:left="720" w:hanging="360"/>
      </w:pPr>
      <w:rPr>
        <w:rFonts w:ascii="Arial" w:hAnsi="Arial" w:cs="Arial" w:hint="default"/>
        <w:b/>
        <w:color w:val="auto"/>
        <w:sz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47471F3B"/>
    <w:multiLevelType w:val="hybridMultilevel"/>
    <w:tmpl w:val="104688EA"/>
    <w:lvl w:ilvl="0" w:tplc="9F32A9A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15:restartNumberingAfterBreak="0">
    <w:nsid w:val="4DA03262"/>
    <w:multiLevelType w:val="hybridMultilevel"/>
    <w:tmpl w:val="540A7B68"/>
    <w:lvl w:ilvl="0" w:tplc="77B037C0">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8" w15:restartNumberingAfterBreak="0">
    <w:nsid w:val="5B657E23"/>
    <w:multiLevelType w:val="hybridMultilevel"/>
    <w:tmpl w:val="0B8C35BC"/>
    <w:lvl w:ilvl="0" w:tplc="340A0017">
      <w:start w:val="1"/>
      <w:numFmt w:val="lowerLetter"/>
      <w:lvlText w:val="%1)"/>
      <w:lvlJc w:val="left"/>
      <w:pPr>
        <w:ind w:left="1776" w:hanging="360"/>
      </w:pPr>
      <w:rPr>
        <w:rFont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9" w15:restartNumberingAfterBreak="0">
    <w:nsid w:val="5D863491"/>
    <w:multiLevelType w:val="hybridMultilevel"/>
    <w:tmpl w:val="20968320"/>
    <w:lvl w:ilvl="0" w:tplc="D01A1886">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23556FD"/>
    <w:multiLevelType w:val="hybridMultilevel"/>
    <w:tmpl w:val="F8C2AD10"/>
    <w:lvl w:ilvl="0" w:tplc="B78AC858">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49F774C"/>
    <w:multiLevelType w:val="hybridMultilevel"/>
    <w:tmpl w:val="5F90772A"/>
    <w:lvl w:ilvl="0" w:tplc="340A0001">
      <w:start w:val="1"/>
      <w:numFmt w:val="bullet"/>
      <w:lvlText w:val=""/>
      <w:lvlJc w:val="left"/>
      <w:pPr>
        <w:ind w:left="863" w:hanging="360"/>
      </w:pPr>
      <w:rPr>
        <w:rFonts w:ascii="Symbol" w:hAnsi="Symbol" w:hint="default"/>
      </w:rPr>
    </w:lvl>
    <w:lvl w:ilvl="1" w:tplc="340A0003">
      <w:start w:val="1"/>
      <w:numFmt w:val="bullet"/>
      <w:lvlText w:val="o"/>
      <w:lvlJc w:val="left"/>
      <w:pPr>
        <w:ind w:left="1583" w:hanging="360"/>
      </w:pPr>
      <w:rPr>
        <w:rFonts w:ascii="Courier New" w:hAnsi="Courier New" w:cs="Courier New" w:hint="default"/>
      </w:rPr>
    </w:lvl>
    <w:lvl w:ilvl="2" w:tplc="340A0005" w:tentative="1">
      <w:start w:val="1"/>
      <w:numFmt w:val="bullet"/>
      <w:lvlText w:val=""/>
      <w:lvlJc w:val="left"/>
      <w:pPr>
        <w:ind w:left="2303" w:hanging="360"/>
      </w:pPr>
      <w:rPr>
        <w:rFonts w:ascii="Wingdings" w:hAnsi="Wingdings" w:hint="default"/>
      </w:rPr>
    </w:lvl>
    <w:lvl w:ilvl="3" w:tplc="340A0001" w:tentative="1">
      <w:start w:val="1"/>
      <w:numFmt w:val="bullet"/>
      <w:lvlText w:val=""/>
      <w:lvlJc w:val="left"/>
      <w:pPr>
        <w:ind w:left="3023" w:hanging="360"/>
      </w:pPr>
      <w:rPr>
        <w:rFonts w:ascii="Symbol" w:hAnsi="Symbol" w:hint="default"/>
      </w:rPr>
    </w:lvl>
    <w:lvl w:ilvl="4" w:tplc="340A0003" w:tentative="1">
      <w:start w:val="1"/>
      <w:numFmt w:val="bullet"/>
      <w:lvlText w:val="o"/>
      <w:lvlJc w:val="left"/>
      <w:pPr>
        <w:ind w:left="3743" w:hanging="360"/>
      </w:pPr>
      <w:rPr>
        <w:rFonts w:ascii="Courier New" w:hAnsi="Courier New" w:cs="Courier New" w:hint="default"/>
      </w:rPr>
    </w:lvl>
    <w:lvl w:ilvl="5" w:tplc="340A0005" w:tentative="1">
      <w:start w:val="1"/>
      <w:numFmt w:val="bullet"/>
      <w:lvlText w:val=""/>
      <w:lvlJc w:val="left"/>
      <w:pPr>
        <w:ind w:left="4463" w:hanging="360"/>
      </w:pPr>
      <w:rPr>
        <w:rFonts w:ascii="Wingdings" w:hAnsi="Wingdings" w:hint="default"/>
      </w:rPr>
    </w:lvl>
    <w:lvl w:ilvl="6" w:tplc="340A0001" w:tentative="1">
      <w:start w:val="1"/>
      <w:numFmt w:val="bullet"/>
      <w:lvlText w:val=""/>
      <w:lvlJc w:val="left"/>
      <w:pPr>
        <w:ind w:left="5183" w:hanging="360"/>
      </w:pPr>
      <w:rPr>
        <w:rFonts w:ascii="Symbol" w:hAnsi="Symbol" w:hint="default"/>
      </w:rPr>
    </w:lvl>
    <w:lvl w:ilvl="7" w:tplc="340A0003" w:tentative="1">
      <w:start w:val="1"/>
      <w:numFmt w:val="bullet"/>
      <w:lvlText w:val="o"/>
      <w:lvlJc w:val="left"/>
      <w:pPr>
        <w:ind w:left="5903" w:hanging="360"/>
      </w:pPr>
      <w:rPr>
        <w:rFonts w:ascii="Courier New" w:hAnsi="Courier New" w:cs="Courier New" w:hint="default"/>
      </w:rPr>
    </w:lvl>
    <w:lvl w:ilvl="8" w:tplc="340A0005" w:tentative="1">
      <w:start w:val="1"/>
      <w:numFmt w:val="bullet"/>
      <w:lvlText w:val=""/>
      <w:lvlJc w:val="left"/>
      <w:pPr>
        <w:ind w:left="6623" w:hanging="360"/>
      </w:pPr>
      <w:rPr>
        <w:rFonts w:ascii="Wingdings" w:hAnsi="Wingdings" w:hint="default"/>
      </w:rPr>
    </w:lvl>
  </w:abstractNum>
  <w:abstractNum w:abstractNumId="22" w15:restartNumberingAfterBreak="0">
    <w:nsid w:val="67D46EBD"/>
    <w:multiLevelType w:val="hybridMultilevel"/>
    <w:tmpl w:val="104688EA"/>
    <w:lvl w:ilvl="0" w:tplc="9F32A9A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3" w15:restartNumberingAfterBreak="0">
    <w:nsid w:val="694A1B52"/>
    <w:multiLevelType w:val="hybridMultilevel"/>
    <w:tmpl w:val="9D929098"/>
    <w:lvl w:ilvl="0" w:tplc="FC3E85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C710CC3"/>
    <w:multiLevelType w:val="hybridMultilevel"/>
    <w:tmpl w:val="6ED8C3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68368B"/>
    <w:multiLevelType w:val="hybridMultilevel"/>
    <w:tmpl w:val="3B6ACB4E"/>
    <w:lvl w:ilvl="0" w:tplc="5E16CD4A">
      <w:start w:val="1"/>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7704D6C"/>
    <w:multiLevelType w:val="hybridMultilevel"/>
    <w:tmpl w:val="1C74CD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26"/>
  </w:num>
  <w:num w:numId="3">
    <w:abstractNumId w:val="21"/>
  </w:num>
  <w:num w:numId="4">
    <w:abstractNumId w:val="11"/>
  </w:num>
  <w:num w:numId="5">
    <w:abstractNumId w:val="2"/>
  </w:num>
  <w:num w:numId="6">
    <w:abstractNumId w:val="7"/>
  </w:num>
  <w:num w:numId="7">
    <w:abstractNumId w:val="1"/>
  </w:num>
  <w:num w:numId="8">
    <w:abstractNumId w:val="20"/>
  </w:num>
  <w:num w:numId="9">
    <w:abstractNumId w:val="13"/>
  </w:num>
  <w:num w:numId="10">
    <w:abstractNumId w:val="6"/>
  </w:num>
  <w:num w:numId="11">
    <w:abstractNumId w:val="12"/>
  </w:num>
  <w:num w:numId="12">
    <w:abstractNumId w:val="16"/>
  </w:num>
  <w:num w:numId="13">
    <w:abstractNumId w:val="2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8"/>
  </w:num>
  <w:num w:numId="18">
    <w:abstractNumId w:val="25"/>
  </w:num>
  <w:num w:numId="19">
    <w:abstractNumId w:val="0"/>
  </w:num>
  <w:num w:numId="20">
    <w:abstractNumId w:val="4"/>
  </w:num>
  <w:num w:numId="21">
    <w:abstractNumId w:val="9"/>
  </w:num>
  <w:num w:numId="22">
    <w:abstractNumId w:val="23"/>
  </w:num>
  <w:num w:numId="23">
    <w:abstractNumId w:val="5"/>
  </w:num>
  <w:num w:numId="24">
    <w:abstractNumId w:val="17"/>
  </w:num>
  <w:num w:numId="25">
    <w:abstractNumId w:val="19"/>
  </w:num>
  <w:num w:numId="26">
    <w:abstractNumId w:val="14"/>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8C"/>
    <w:rsid w:val="00000812"/>
    <w:rsid w:val="00000B80"/>
    <w:rsid w:val="00004644"/>
    <w:rsid w:val="00004D3D"/>
    <w:rsid w:val="00010283"/>
    <w:rsid w:val="00011620"/>
    <w:rsid w:val="00014C87"/>
    <w:rsid w:val="0001566C"/>
    <w:rsid w:val="00015FE0"/>
    <w:rsid w:val="00020A81"/>
    <w:rsid w:val="000217A9"/>
    <w:rsid w:val="00023823"/>
    <w:rsid w:val="00023C01"/>
    <w:rsid w:val="000259BB"/>
    <w:rsid w:val="00025D04"/>
    <w:rsid w:val="00030718"/>
    <w:rsid w:val="0003525A"/>
    <w:rsid w:val="000356AE"/>
    <w:rsid w:val="000403C9"/>
    <w:rsid w:val="00041810"/>
    <w:rsid w:val="00044EB6"/>
    <w:rsid w:val="00046022"/>
    <w:rsid w:val="0004722A"/>
    <w:rsid w:val="00047F17"/>
    <w:rsid w:val="00050D34"/>
    <w:rsid w:val="00051F95"/>
    <w:rsid w:val="00052C71"/>
    <w:rsid w:val="00055F63"/>
    <w:rsid w:val="000562DB"/>
    <w:rsid w:val="00056558"/>
    <w:rsid w:val="00056E08"/>
    <w:rsid w:val="0006048B"/>
    <w:rsid w:val="00061282"/>
    <w:rsid w:val="000629D6"/>
    <w:rsid w:val="00064BEF"/>
    <w:rsid w:val="00065BD4"/>
    <w:rsid w:val="00065C22"/>
    <w:rsid w:val="00066742"/>
    <w:rsid w:val="00080113"/>
    <w:rsid w:val="0008045F"/>
    <w:rsid w:val="00081BF9"/>
    <w:rsid w:val="000829A6"/>
    <w:rsid w:val="00083FB7"/>
    <w:rsid w:val="00084D46"/>
    <w:rsid w:val="0008554E"/>
    <w:rsid w:val="0008680A"/>
    <w:rsid w:val="00094797"/>
    <w:rsid w:val="00095D58"/>
    <w:rsid w:val="00096E51"/>
    <w:rsid w:val="000A4513"/>
    <w:rsid w:val="000A6DE5"/>
    <w:rsid w:val="000B0E53"/>
    <w:rsid w:val="000B2B88"/>
    <w:rsid w:val="000B387B"/>
    <w:rsid w:val="000B3A13"/>
    <w:rsid w:val="000B457B"/>
    <w:rsid w:val="000B5A21"/>
    <w:rsid w:val="000B7332"/>
    <w:rsid w:val="000C113F"/>
    <w:rsid w:val="000C5014"/>
    <w:rsid w:val="000C55F2"/>
    <w:rsid w:val="000C5E12"/>
    <w:rsid w:val="000D1613"/>
    <w:rsid w:val="000D27F0"/>
    <w:rsid w:val="000D6AC4"/>
    <w:rsid w:val="000E2AFF"/>
    <w:rsid w:val="000E4DB2"/>
    <w:rsid w:val="000E5D84"/>
    <w:rsid w:val="000F3597"/>
    <w:rsid w:val="000F3D40"/>
    <w:rsid w:val="000F40FB"/>
    <w:rsid w:val="000F5784"/>
    <w:rsid w:val="0010021C"/>
    <w:rsid w:val="00101E62"/>
    <w:rsid w:val="0010460E"/>
    <w:rsid w:val="00105270"/>
    <w:rsid w:val="00105C4F"/>
    <w:rsid w:val="001127A1"/>
    <w:rsid w:val="00113FF3"/>
    <w:rsid w:val="00114D49"/>
    <w:rsid w:val="00117BAD"/>
    <w:rsid w:val="00120292"/>
    <w:rsid w:val="0012124C"/>
    <w:rsid w:val="00123324"/>
    <w:rsid w:val="00123979"/>
    <w:rsid w:val="00124AAE"/>
    <w:rsid w:val="001250AD"/>
    <w:rsid w:val="001251AA"/>
    <w:rsid w:val="001258A2"/>
    <w:rsid w:val="00126074"/>
    <w:rsid w:val="0012638C"/>
    <w:rsid w:val="001265EA"/>
    <w:rsid w:val="00130C91"/>
    <w:rsid w:val="00132F2E"/>
    <w:rsid w:val="00134DCF"/>
    <w:rsid w:val="001360DE"/>
    <w:rsid w:val="00136C2C"/>
    <w:rsid w:val="00137BAD"/>
    <w:rsid w:val="001443AA"/>
    <w:rsid w:val="00144F61"/>
    <w:rsid w:val="00146829"/>
    <w:rsid w:val="00151B2D"/>
    <w:rsid w:val="0015234F"/>
    <w:rsid w:val="0015744D"/>
    <w:rsid w:val="0016232E"/>
    <w:rsid w:val="001637D8"/>
    <w:rsid w:val="00166FC6"/>
    <w:rsid w:val="001727E8"/>
    <w:rsid w:val="001729C6"/>
    <w:rsid w:val="00172C91"/>
    <w:rsid w:val="0017407F"/>
    <w:rsid w:val="0017486D"/>
    <w:rsid w:val="00177B11"/>
    <w:rsid w:val="00177FAC"/>
    <w:rsid w:val="00181147"/>
    <w:rsid w:val="00183865"/>
    <w:rsid w:val="00183D33"/>
    <w:rsid w:val="001874DA"/>
    <w:rsid w:val="001879C0"/>
    <w:rsid w:val="00190BCF"/>
    <w:rsid w:val="00192957"/>
    <w:rsid w:val="00193187"/>
    <w:rsid w:val="00194326"/>
    <w:rsid w:val="00194A9B"/>
    <w:rsid w:val="00196C96"/>
    <w:rsid w:val="001A19B3"/>
    <w:rsid w:val="001A465A"/>
    <w:rsid w:val="001A4B7E"/>
    <w:rsid w:val="001B30C6"/>
    <w:rsid w:val="001B4367"/>
    <w:rsid w:val="001B5A7D"/>
    <w:rsid w:val="001B5EC3"/>
    <w:rsid w:val="001B6E12"/>
    <w:rsid w:val="001C2979"/>
    <w:rsid w:val="001C3B7A"/>
    <w:rsid w:val="001C4A8A"/>
    <w:rsid w:val="001C551B"/>
    <w:rsid w:val="001D00A5"/>
    <w:rsid w:val="001D0A5F"/>
    <w:rsid w:val="001D33A3"/>
    <w:rsid w:val="001D5371"/>
    <w:rsid w:val="001D7441"/>
    <w:rsid w:val="001E4BF6"/>
    <w:rsid w:val="001E4CD0"/>
    <w:rsid w:val="001E4E22"/>
    <w:rsid w:val="001E679D"/>
    <w:rsid w:val="001E7872"/>
    <w:rsid w:val="001F3944"/>
    <w:rsid w:val="001F42EE"/>
    <w:rsid w:val="001F4569"/>
    <w:rsid w:val="001F4D68"/>
    <w:rsid w:val="001F648F"/>
    <w:rsid w:val="0020363F"/>
    <w:rsid w:val="00207351"/>
    <w:rsid w:val="0021053E"/>
    <w:rsid w:val="002117AE"/>
    <w:rsid w:val="00212428"/>
    <w:rsid w:val="00213F9D"/>
    <w:rsid w:val="002159CA"/>
    <w:rsid w:val="00216FE3"/>
    <w:rsid w:val="00222F08"/>
    <w:rsid w:val="002260D5"/>
    <w:rsid w:val="00230606"/>
    <w:rsid w:val="0023443A"/>
    <w:rsid w:val="002351C2"/>
    <w:rsid w:val="0024203B"/>
    <w:rsid w:val="00244D7C"/>
    <w:rsid w:val="002467BE"/>
    <w:rsid w:val="0025215C"/>
    <w:rsid w:val="002528C3"/>
    <w:rsid w:val="00252F85"/>
    <w:rsid w:val="00255B8C"/>
    <w:rsid w:val="0025641E"/>
    <w:rsid w:val="002573BE"/>
    <w:rsid w:val="00257834"/>
    <w:rsid w:val="00257B87"/>
    <w:rsid w:val="00260871"/>
    <w:rsid w:val="00260EC4"/>
    <w:rsid w:val="00261C9F"/>
    <w:rsid w:val="00262666"/>
    <w:rsid w:val="002649C6"/>
    <w:rsid w:val="00267801"/>
    <w:rsid w:val="00273444"/>
    <w:rsid w:val="00274179"/>
    <w:rsid w:val="00274B31"/>
    <w:rsid w:val="00274C69"/>
    <w:rsid w:val="00275ECE"/>
    <w:rsid w:val="00283544"/>
    <w:rsid w:val="0028367B"/>
    <w:rsid w:val="0028442A"/>
    <w:rsid w:val="00285539"/>
    <w:rsid w:val="00285AB2"/>
    <w:rsid w:val="00286A96"/>
    <w:rsid w:val="0029063E"/>
    <w:rsid w:val="00290A94"/>
    <w:rsid w:val="00291359"/>
    <w:rsid w:val="00291379"/>
    <w:rsid w:val="00291E35"/>
    <w:rsid w:val="00292BCE"/>
    <w:rsid w:val="00294F45"/>
    <w:rsid w:val="00296057"/>
    <w:rsid w:val="002A0AA4"/>
    <w:rsid w:val="002A3703"/>
    <w:rsid w:val="002A3F39"/>
    <w:rsid w:val="002A6415"/>
    <w:rsid w:val="002A66F6"/>
    <w:rsid w:val="002B1FAC"/>
    <w:rsid w:val="002B3FE0"/>
    <w:rsid w:val="002B581E"/>
    <w:rsid w:val="002B7317"/>
    <w:rsid w:val="002C1DE4"/>
    <w:rsid w:val="002C3726"/>
    <w:rsid w:val="002C3A14"/>
    <w:rsid w:val="002C69A6"/>
    <w:rsid w:val="002D3B36"/>
    <w:rsid w:val="002D3F5B"/>
    <w:rsid w:val="002D5D5C"/>
    <w:rsid w:val="002D63A8"/>
    <w:rsid w:val="002D6C2F"/>
    <w:rsid w:val="002D7740"/>
    <w:rsid w:val="002F03F4"/>
    <w:rsid w:val="002F24D7"/>
    <w:rsid w:val="002F30C7"/>
    <w:rsid w:val="002F5B41"/>
    <w:rsid w:val="003003EB"/>
    <w:rsid w:val="00302E71"/>
    <w:rsid w:val="00306615"/>
    <w:rsid w:val="00307A30"/>
    <w:rsid w:val="00311F01"/>
    <w:rsid w:val="003157B0"/>
    <w:rsid w:val="003163EB"/>
    <w:rsid w:val="0031687F"/>
    <w:rsid w:val="00321592"/>
    <w:rsid w:val="00322B08"/>
    <w:rsid w:val="003236C4"/>
    <w:rsid w:val="003245FF"/>
    <w:rsid w:val="003248D1"/>
    <w:rsid w:val="00324CED"/>
    <w:rsid w:val="003270C6"/>
    <w:rsid w:val="00330F67"/>
    <w:rsid w:val="00331E22"/>
    <w:rsid w:val="003401B3"/>
    <w:rsid w:val="00340A79"/>
    <w:rsid w:val="0034125B"/>
    <w:rsid w:val="00345138"/>
    <w:rsid w:val="0034532E"/>
    <w:rsid w:val="003464B1"/>
    <w:rsid w:val="00352191"/>
    <w:rsid w:val="00352AC0"/>
    <w:rsid w:val="00354D81"/>
    <w:rsid w:val="00355E4B"/>
    <w:rsid w:val="00356A43"/>
    <w:rsid w:val="00360E4E"/>
    <w:rsid w:val="003624C0"/>
    <w:rsid w:val="003657B8"/>
    <w:rsid w:val="0037284C"/>
    <w:rsid w:val="00374D82"/>
    <w:rsid w:val="00375931"/>
    <w:rsid w:val="00381867"/>
    <w:rsid w:val="00383451"/>
    <w:rsid w:val="00390F1C"/>
    <w:rsid w:val="0039204F"/>
    <w:rsid w:val="00394AED"/>
    <w:rsid w:val="003A0157"/>
    <w:rsid w:val="003A1175"/>
    <w:rsid w:val="003A3E1B"/>
    <w:rsid w:val="003A4989"/>
    <w:rsid w:val="003A5533"/>
    <w:rsid w:val="003A579B"/>
    <w:rsid w:val="003A67C7"/>
    <w:rsid w:val="003A74C1"/>
    <w:rsid w:val="003B22A9"/>
    <w:rsid w:val="003C0C62"/>
    <w:rsid w:val="003C1FE3"/>
    <w:rsid w:val="003C4CEB"/>
    <w:rsid w:val="003C554D"/>
    <w:rsid w:val="003C5BC1"/>
    <w:rsid w:val="003D205A"/>
    <w:rsid w:val="003D218D"/>
    <w:rsid w:val="003D36B2"/>
    <w:rsid w:val="003D5499"/>
    <w:rsid w:val="003D6035"/>
    <w:rsid w:val="003E0006"/>
    <w:rsid w:val="003E0DF6"/>
    <w:rsid w:val="003E18A3"/>
    <w:rsid w:val="003E2B46"/>
    <w:rsid w:val="003E3C27"/>
    <w:rsid w:val="003E7A5E"/>
    <w:rsid w:val="003F1039"/>
    <w:rsid w:val="003F4FD9"/>
    <w:rsid w:val="003F557F"/>
    <w:rsid w:val="003F68AE"/>
    <w:rsid w:val="004116AF"/>
    <w:rsid w:val="00412051"/>
    <w:rsid w:val="00413148"/>
    <w:rsid w:val="00415738"/>
    <w:rsid w:val="004259B1"/>
    <w:rsid w:val="00426101"/>
    <w:rsid w:val="004267B9"/>
    <w:rsid w:val="00432E52"/>
    <w:rsid w:val="00433177"/>
    <w:rsid w:val="00433439"/>
    <w:rsid w:val="00436994"/>
    <w:rsid w:val="004423FD"/>
    <w:rsid w:val="00442BE3"/>
    <w:rsid w:val="00443E9E"/>
    <w:rsid w:val="004446BD"/>
    <w:rsid w:val="00444BAD"/>
    <w:rsid w:val="004452D6"/>
    <w:rsid w:val="004465CD"/>
    <w:rsid w:val="004479AA"/>
    <w:rsid w:val="00451D68"/>
    <w:rsid w:val="00452BAC"/>
    <w:rsid w:val="0045350F"/>
    <w:rsid w:val="0045742D"/>
    <w:rsid w:val="00457727"/>
    <w:rsid w:val="004629FB"/>
    <w:rsid w:val="00462E75"/>
    <w:rsid w:val="00464401"/>
    <w:rsid w:val="00464600"/>
    <w:rsid w:val="00467A4B"/>
    <w:rsid w:val="00473836"/>
    <w:rsid w:val="0047393C"/>
    <w:rsid w:val="0047470D"/>
    <w:rsid w:val="00475316"/>
    <w:rsid w:val="004766A2"/>
    <w:rsid w:val="00480015"/>
    <w:rsid w:val="004824C1"/>
    <w:rsid w:val="00483BBD"/>
    <w:rsid w:val="00483E6E"/>
    <w:rsid w:val="0048495E"/>
    <w:rsid w:val="00486B7E"/>
    <w:rsid w:val="00487EBE"/>
    <w:rsid w:val="004935F9"/>
    <w:rsid w:val="00493B87"/>
    <w:rsid w:val="00494C56"/>
    <w:rsid w:val="00494EB9"/>
    <w:rsid w:val="004A2F2F"/>
    <w:rsid w:val="004A336D"/>
    <w:rsid w:val="004A53C5"/>
    <w:rsid w:val="004A54CF"/>
    <w:rsid w:val="004A74C1"/>
    <w:rsid w:val="004B155D"/>
    <w:rsid w:val="004B2750"/>
    <w:rsid w:val="004C6D77"/>
    <w:rsid w:val="004C7D51"/>
    <w:rsid w:val="004D05B1"/>
    <w:rsid w:val="004D1F2F"/>
    <w:rsid w:val="004D36E5"/>
    <w:rsid w:val="004D39A8"/>
    <w:rsid w:val="004D4103"/>
    <w:rsid w:val="004D605F"/>
    <w:rsid w:val="004E4AE6"/>
    <w:rsid w:val="004E5A28"/>
    <w:rsid w:val="004F1037"/>
    <w:rsid w:val="004F14A2"/>
    <w:rsid w:val="004F25C8"/>
    <w:rsid w:val="004F4629"/>
    <w:rsid w:val="004F4D01"/>
    <w:rsid w:val="004F5DFA"/>
    <w:rsid w:val="004F6AA3"/>
    <w:rsid w:val="00502F35"/>
    <w:rsid w:val="005045FD"/>
    <w:rsid w:val="00513A2E"/>
    <w:rsid w:val="00514A4F"/>
    <w:rsid w:val="00514F7E"/>
    <w:rsid w:val="00515D5B"/>
    <w:rsid w:val="00523A3D"/>
    <w:rsid w:val="0052441E"/>
    <w:rsid w:val="005259E6"/>
    <w:rsid w:val="005354F4"/>
    <w:rsid w:val="0053641C"/>
    <w:rsid w:val="005403CD"/>
    <w:rsid w:val="00540A8E"/>
    <w:rsid w:val="005422CD"/>
    <w:rsid w:val="00542A6E"/>
    <w:rsid w:val="00544F63"/>
    <w:rsid w:val="00550320"/>
    <w:rsid w:val="00550C3F"/>
    <w:rsid w:val="00552E8F"/>
    <w:rsid w:val="00554A2C"/>
    <w:rsid w:val="0055692A"/>
    <w:rsid w:val="005576DC"/>
    <w:rsid w:val="00557AA2"/>
    <w:rsid w:val="00561029"/>
    <w:rsid w:val="00562510"/>
    <w:rsid w:val="00564312"/>
    <w:rsid w:val="00564D4B"/>
    <w:rsid w:val="005654DE"/>
    <w:rsid w:val="00567CAB"/>
    <w:rsid w:val="00567CF0"/>
    <w:rsid w:val="00571CAE"/>
    <w:rsid w:val="00572D1B"/>
    <w:rsid w:val="00574BCB"/>
    <w:rsid w:val="005759E0"/>
    <w:rsid w:val="00575A70"/>
    <w:rsid w:val="0057602B"/>
    <w:rsid w:val="005772F6"/>
    <w:rsid w:val="00577A80"/>
    <w:rsid w:val="0058025F"/>
    <w:rsid w:val="00581AE6"/>
    <w:rsid w:val="005837D8"/>
    <w:rsid w:val="00592960"/>
    <w:rsid w:val="00593BB3"/>
    <w:rsid w:val="005942D0"/>
    <w:rsid w:val="005979FA"/>
    <w:rsid w:val="005A002B"/>
    <w:rsid w:val="005A1219"/>
    <w:rsid w:val="005A1768"/>
    <w:rsid w:val="005A4A72"/>
    <w:rsid w:val="005A6CED"/>
    <w:rsid w:val="005B0063"/>
    <w:rsid w:val="005B1B73"/>
    <w:rsid w:val="005B3EEB"/>
    <w:rsid w:val="005B429A"/>
    <w:rsid w:val="005B644F"/>
    <w:rsid w:val="005C15FE"/>
    <w:rsid w:val="005C1B35"/>
    <w:rsid w:val="005C2880"/>
    <w:rsid w:val="005D0986"/>
    <w:rsid w:val="005D4148"/>
    <w:rsid w:val="005D4661"/>
    <w:rsid w:val="005D511C"/>
    <w:rsid w:val="005D61D0"/>
    <w:rsid w:val="005E17AB"/>
    <w:rsid w:val="005E18E3"/>
    <w:rsid w:val="005E67DD"/>
    <w:rsid w:val="005F2A68"/>
    <w:rsid w:val="005F2D4A"/>
    <w:rsid w:val="005F4AED"/>
    <w:rsid w:val="005F5401"/>
    <w:rsid w:val="0061135F"/>
    <w:rsid w:val="006118A8"/>
    <w:rsid w:val="00616BFE"/>
    <w:rsid w:val="00622E93"/>
    <w:rsid w:val="00627B11"/>
    <w:rsid w:val="00631F05"/>
    <w:rsid w:val="00633560"/>
    <w:rsid w:val="0063440B"/>
    <w:rsid w:val="00643223"/>
    <w:rsid w:val="006434C6"/>
    <w:rsid w:val="006511F0"/>
    <w:rsid w:val="0065181E"/>
    <w:rsid w:val="00651A5E"/>
    <w:rsid w:val="00651B26"/>
    <w:rsid w:val="00656452"/>
    <w:rsid w:val="0066116B"/>
    <w:rsid w:val="00670739"/>
    <w:rsid w:val="00672EBB"/>
    <w:rsid w:val="006748FB"/>
    <w:rsid w:val="00683735"/>
    <w:rsid w:val="006905E1"/>
    <w:rsid w:val="0069221A"/>
    <w:rsid w:val="00692924"/>
    <w:rsid w:val="00694B29"/>
    <w:rsid w:val="00696B71"/>
    <w:rsid w:val="00697910"/>
    <w:rsid w:val="00697D16"/>
    <w:rsid w:val="006A177F"/>
    <w:rsid w:val="006A25AD"/>
    <w:rsid w:val="006A3C2E"/>
    <w:rsid w:val="006A7E5F"/>
    <w:rsid w:val="006B1DD4"/>
    <w:rsid w:val="006B53AB"/>
    <w:rsid w:val="006B5AA0"/>
    <w:rsid w:val="006C03A7"/>
    <w:rsid w:val="006C2E01"/>
    <w:rsid w:val="006C3AB9"/>
    <w:rsid w:val="006C65FA"/>
    <w:rsid w:val="006C7073"/>
    <w:rsid w:val="006C749E"/>
    <w:rsid w:val="006D2F62"/>
    <w:rsid w:val="006D3CCD"/>
    <w:rsid w:val="006D6D56"/>
    <w:rsid w:val="006D784F"/>
    <w:rsid w:val="006E2CD2"/>
    <w:rsid w:val="006E5016"/>
    <w:rsid w:val="006E632F"/>
    <w:rsid w:val="006E6B63"/>
    <w:rsid w:val="006F1F2C"/>
    <w:rsid w:val="006F2C4A"/>
    <w:rsid w:val="006F3B17"/>
    <w:rsid w:val="007008AA"/>
    <w:rsid w:val="00701B05"/>
    <w:rsid w:val="00701D49"/>
    <w:rsid w:val="00706F34"/>
    <w:rsid w:val="0070706F"/>
    <w:rsid w:val="007109B9"/>
    <w:rsid w:val="007166BB"/>
    <w:rsid w:val="00716C52"/>
    <w:rsid w:val="007211A5"/>
    <w:rsid w:val="00723386"/>
    <w:rsid w:val="00724EED"/>
    <w:rsid w:val="007261B8"/>
    <w:rsid w:val="00733361"/>
    <w:rsid w:val="00733CCA"/>
    <w:rsid w:val="0074001F"/>
    <w:rsid w:val="00742F82"/>
    <w:rsid w:val="00743EA7"/>
    <w:rsid w:val="00743EE3"/>
    <w:rsid w:val="00752EF9"/>
    <w:rsid w:val="00752F6C"/>
    <w:rsid w:val="007533B6"/>
    <w:rsid w:val="00760933"/>
    <w:rsid w:val="00760D82"/>
    <w:rsid w:val="00762866"/>
    <w:rsid w:val="007633A5"/>
    <w:rsid w:val="00763BA8"/>
    <w:rsid w:val="00764AED"/>
    <w:rsid w:val="00765817"/>
    <w:rsid w:val="00766525"/>
    <w:rsid w:val="00766EE3"/>
    <w:rsid w:val="00771B03"/>
    <w:rsid w:val="00772560"/>
    <w:rsid w:val="007727E9"/>
    <w:rsid w:val="00773948"/>
    <w:rsid w:val="007753F6"/>
    <w:rsid w:val="00776C51"/>
    <w:rsid w:val="00777318"/>
    <w:rsid w:val="00783905"/>
    <w:rsid w:val="0079027A"/>
    <w:rsid w:val="00791211"/>
    <w:rsid w:val="007928E9"/>
    <w:rsid w:val="007A07A3"/>
    <w:rsid w:val="007A2D71"/>
    <w:rsid w:val="007A6E24"/>
    <w:rsid w:val="007B28BD"/>
    <w:rsid w:val="007B3186"/>
    <w:rsid w:val="007B4E32"/>
    <w:rsid w:val="007C0F1A"/>
    <w:rsid w:val="007C1894"/>
    <w:rsid w:val="007C1EAD"/>
    <w:rsid w:val="007C551E"/>
    <w:rsid w:val="007C5BCD"/>
    <w:rsid w:val="007C7AF0"/>
    <w:rsid w:val="007C7E91"/>
    <w:rsid w:val="007C7F0F"/>
    <w:rsid w:val="007D00CA"/>
    <w:rsid w:val="007D09DB"/>
    <w:rsid w:val="007D17E0"/>
    <w:rsid w:val="007D539B"/>
    <w:rsid w:val="007D7A35"/>
    <w:rsid w:val="007D7A98"/>
    <w:rsid w:val="007D7AC7"/>
    <w:rsid w:val="007E19BB"/>
    <w:rsid w:val="007E1D94"/>
    <w:rsid w:val="007E4614"/>
    <w:rsid w:val="007E4A09"/>
    <w:rsid w:val="007E4A47"/>
    <w:rsid w:val="007E5B03"/>
    <w:rsid w:val="007E62BF"/>
    <w:rsid w:val="007E78E2"/>
    <w:rsid w:val="007F0F67"/>
    <w:rsid w:val="007F2DE1"/>
    <w:rsid w:val="007F4469"/>
    <w:rsid w:val="007F515B"/>
    <w:rsid w:val="007F52D4"/>
    <w:rsid w:val="00801A92"/>
    <w:rsid w:val="00801B93"/>
    <w:rsid w:val="0080209D"/>
    <w:rsid w:val="00805B9B"/>
    <w:rsid w:val="0080607F"/>
    <w:rsid w:val="008106AF"/>
    <w:rsid w:val="0082281D"/>
    <w:rsid w:val="00825DC9"/>
    <w:rsid w:val="00826F4E"/>
    <w:rsid w:val="00827185"/>
    <w:rsid w:val="00827592"/>
    <w:rsid w:val="0083445C"/>
    <w:rsid w:val="00834766"/>
    <w:rsid w:val="008349D8"/>
    <w:rsid w:val="008371DE"/>
    <w:rsid w:val="008374C8"/>
    <w:rsid w:val="0084028F"/>
    <w:rsid w:val="0084112A"/>
    <w:rsid w:val="00841EE1"/>
    <w:rsid w:val="0084260D"/>
    <w:rsid w:val="00842849"/>
    <w:rsid w:val="00844F00"/>
    <w:rsid w:val="00845C74"/>
    <w:rsid w:val="008514E3"/>
    <w:rsid w:val="00852896"/>
    <w:rsid w:val="00853A67"/>
    <w:rsid w:val="008558D5"/>
    <w:rsid w:val="008563E7"/>
    <w:rsid w:val="00856B1B"/>
    <w:rsid w:val="00860C00"/>
    <w:rsid w:val="008640A6"/>
    <w:rsid w:val="00864CC4"/>
    <w:rsid w:val="0086597A"/>
    <w:rsid w:val="008664C5"/>
    <w:rsid w:val="00867734"/>
    <w:rsid w:val="00874E30"/>
    <w:rsid w:val="008801F4"/>
    <w:rsid w:val="0088176A"/>
    <w:rsid w:val="0088186A"/>
    <w:rsid w:val="00884373"/>
    <w:rsid w:val="0088583E"/>
    <w:rsid w:val="008867F4"/>
    <w:rsid w:val="00892F2D"/>
    <w:rsid w:val="008945B7"/>
    <w:rsid w:val="0089511A"/>
    <w:rsid w:val="008A082B"/>
    <w:rsid w:val="008A6F72"/>
    <w:rsid w:val="008A7CE0"/>
    <w:rsid w:val="008B02D1"/>
    <w:rsid w:val="008B3A03"/>
    <w:rsid w:val="008B5969"/>
    <w:rsid w:val="008C1D29"/>
    <w:rsid w:val="008C1DE7"/>
    <w:rsid w:val="008C4F80"/>
    <w:rsid w:val="008D453D"/>
    <w:rsid w:val="008E0D36"/>
    <w:rsid w:val="008E2109"/>
    <w:rsid w:val="008E516E"/>
    <w:rsid w:val="008F2826"/>
    <w:rsid w:val="008F36DA"/>
    <w:rsid w:val="008F3CCE"/>
    <w:rsid w:val="008F68BF"/>
    <w:rsid w:val="00901E38"/>
    <w:rsid w:val="00903385"/>
    <w:rsid w:val="009035E4"/>
    <w:rsid w:val="00904432"/>
    <w:rsid w:val="009047C2"/>
    <w:rsid w:val="009109C5"/>
    <w:rsid w:val="00910D10"/>
    <w:rsid w:val="00913B2A"/>
    <w:rsid w:val="00915AB8"/>
    <w:rsid w:val="00917746"/>
    <w:rsid w:val="00920F8C"/>
    <w:rsid w:val="00923BE1"/>
    <w:rsid w:val="0092423A"/>
    <w:rsid w:val="009243DB"/>
    <w:rsid w:val="009313DA"/>
    <w:rsid w:val="009317E0"/>
    <w:rsid w:val="00931E5B"/>
    <w:rsid w:val="0093452D"/>
    <w:rsid w:val="009378D8"/>
    <w:rsid w:val="00940597"/>
    <w:rsid w:val="00944772"/>
    <w:rsid w:val="009456F0"/>
    <w:rsid w:val="009458A4"/>
    <w:rsid w:val="009476FB"/>
    <w:rsid w:val="00950406"/>
    <w:rsid w:val="00950924"/>
    <w:rsid w:val="0095172A"/>
    <w:rsid w:val="00953418"/>
    <w:rsid w:val="00955B64"/>
    <w:rsid w:val="009618BF"/>
    <w:rsid w:val="009654F3"/>
    <w:rsid w:val="009676A0"/>
    <w:rsid w:val="00971111"/>
    <w:rsid w:val="00971820"/>
    <w:rsid w:val="00971F0D"/>
    <w:rsid w:val="0098549A"/>
    <w:rsid w:val="0098682B"/>
    <w:rsid w:val="00992148"/>
    <w:rsid w:val="0099221C"/>
    <w:rsid w:val="00994EDF"/>
    <w:rsid w:val="009A0EF7"/>
    <w:rsid w:val="009A340D"/>
    <w:rsid w:val="009A455B"/>
    <w:rsid w:val="009A5047"/>
    <w:rsid w:val="009A7E87"/>
    <w:rsid w:val="009B0469"/>
    <w:rsid w:val="009B4131"/>
    <w:rsid w:val="009B4B83"/>
    <w:rsid w:val="009B4B89"/>
    <w:rsid w:val="009B7723"/>
    <w:rsid w:val="009C19C7"/>
    <w:rsid w:val="009C5D62"/>
    <w:rsid w:val="009C78A7"/>
    <w:rsid w:val="009D1C21"/>
    <w:rsid w:val="009D1E14"/>
    <w:rsid w:val="009D2DF5"/>
    <w:rsid w:val="009D3A07"/>
    <w:rsid w:val="009F77E9"/>
    <w:rsid w:val="009F7E8C"/>
    <w:rsid w:val="00A0074B"/>
    <w:rsid w:val="00A013B0"/>
    <w:rsid w:val="00A0497F"/>
    <w:rsid w:val="00A0515C"/>
    <w:rsid w:val="00A0537D"/>
    <w:rsid w:val="00A06A44"/>
    <w:rsid w:val="00A104E0"/>
    <w:rsid w:val="00A10F16"/>
    <w:rsid w:val="00A1167C"/>
    <w:rsid w:val="00A13C2E"/>
    <w:rsid w:val="00A14006"/>
    <w:rsid w:val="00A1400D"/>
    <w:rsid w:val="00A140D2"/>
    <w:rsid w:val="00A14E13"/>
    <w:rsid w:val="00A151E9"/>
    <w:rsid w:val="00A1679C"/>
    <w:rsid w:val="00A20906"/>
    <w:rsid w:val="00A2230B"/>
    <w:rsid w:val="00A23239"/>
    <w:rsid w:val="00A246A5"/>
    <w:rsid w:val="00A2543D"/>
    <w:rsid w:val="00A30726"/>
    <w:rsid w:val="00A31619"/>
    <w:rsid w:val="00A3329F"/>
    <w:rsid w:val="00A3445A"/>
    <w:rsid w:val="00A357F1"/>
    <w:rsid w:val="00A35A8E"/>
    <w:rsid w:val="00A375BB"/>
    <w:rsid w:val="00A41061"/>
    <w:rsid w:val="00A521A7"/>
    <w:rsid w:val="00A52754"/>
    <w:rsid w:val="00A52D16"/>
    <w:rsid w:val="00A53D44"/>
    <w:rsid w:val="00A61319"/>
    <w:rsid w:val="00A618B4"/>
    <w:rsid w:val="00A61FB4"/>
    <w:rsid w:val="00A625AD"/>
    <w:rsid w:val="00A63B57"/>
    <w:rsid w:val="00A64F4D"/>
    <w:rsid w:val="00A65993"/>
    <w:rsid w:val="00A713A4"/>
    <w:rsid w:val="00A71589"/>
    <w:rsid w:val="00A72394"/>
    <w:rsid w:val="00A723BD"/>
    <w:rsid w:val="00A7273B"/>
    <w:rsid w:val="00A73ECD"/>
    <w:rsid w:val="00A763F1"/>
    <w:rsid w:val="00A768ED"/>
    <w:rsid w:val="00A81E95"/>
    <w:rsid w:val="00A8270F"/>
    <w:rsid w:val="00A8276D"/>
    <w:rsid w:val="00A84873"/>
    <w:rsid w:val="00A8716F"/>
    <w:rsid w:val="00A87897"/>
    <w:rsid w:val="00A91697"/>
    <w:rsid w:val="00AA01E2"/>
    <w:rsid w:val="00AA0939"/>
    <w:rsid w:val="00AA29B3"/>
    <w:rsid w:val="00AA5A27"/>
    <w:rsid w:val="00AA7881"/>
    <w:rsid w:val="00AA7B32"/>
    <w:rsid w:val="00AB00C1"/>
    <w:rsid w:val="00AB052D"/>
    <w:rsid w:val="00AB097F"/>
    <w:rsid w:val="00AB794C"/>
    <w:rsid w:val="00AC1349"/>
    <w:rsid w:val="00AC2B7B"/>
    <w:rsid w:val="00AC2F4C"/>
    <w:rsid w:val="00AC4864"/>
    <w:rsid w:val="00AC7C43"/>
    <w:rsid w:val="00AD1CC6"/>
    <w:rsid w:val="00AD7525"/>
    <w:rsid w:val="00AE082A"/>
    <w:rsid w:val="00AE3DED"/>
    <w:rsid w:val="00AE49B1"/>
    <w:rsid w:val="00AE54D0"/>
    <w:rsid w:val="00AE6576"/>
    <w:rsid w:val="00AE7374"/>
    <w:rsid w:val="00AF3B5B"/>
    <w:rsid w:val="00AF484E"/>
    <w:rsid w:val="00AF622C"/>
    <w:rsid w:val="00AF749E"/>
    <w:rsid w:val="00B025FB"/>
    <w:rsid w:val="00B027B9"/>
    <w:rsid w:val="00B06D55"/>
    <w:rsid w:val="00B06FD9"/>
    <w:rsid w:val="00B076ED"/>
    <w:rsid w:val="00B154A1"/>
    <w:rsid w:val="00B1594F"/>
    <w:rsid w:val="00B16C99"/>
    <w:rsid w:val="00B24E59"/>
    <w:rsid w:val="00B27101"/>
    <w:rsid w:val="00B339C7"/>
    <w:rsid w:val="00B33E98"/>
    <w:rsid w:val="00B40040"/>
    <w:rsid w:val="00B4510A"/>
    <w:rsid w:val="00B465F7"/>
    <w:rsid w:val="00B47108"/>
    <w:rsid w:val="00B475D2"/>
    <w:rsid w:val="00B50868"/>
    <w:rsid w:val="00B55B5C"/>
    <w:rsid w:val="00B56309"/>
    <w:rsid w:val="00B64D36"/>
    <w:rsid w:val="00B653E7"/>
    <w:rsid w:val="00B675A6"/>
    <w:rsid w:val="00B72CFC"/>
    <w:rsid w:val="00B7329B"/>
    <w:rsid w:val="00B74298"/>
    <w:rsid w:val="00B74EB7"/>
    <w:rsid w:val="00B75C7D"/>
    <w:rsid w:val="00B76D2C"/>
    <w:rsid w:val="00B77428"/>
    <w:rsid w:val="00B80BD3"/>
    <w:rsid w:val="00B8144D"/>
    <w:rsid w:val="00B81792"/>
    <w:rsid w:val="00B8618F"/>
    <w:rsid w:val="00B90EE8"/>
    <w:rsid w:val="00B910C5"/>
    <w:rsid w:val="00B922F2"/>
    <w:rsid w:val="00B92D12"/>
    <w:rsid w:val="00B93E1F"/>
    <w:rsid w:val="00B95D26"/>
    <w:rsid w:val="00B960D0"/>
    <w:rsid w:val="00B976EF"/>
    <w:rsid w:val="00BA2359"/>
    <w:rsid w:val="00BA2A13"/>
    <w:rsid w:val="00BB0C08"/>
    <w:rsid w:val="00BB1AD1"/>
    <w:rsid w:val="00BB3D84"/>
    <w:rsid w:val="00BB4BF6"/>
    <w:rsid w:val="00BB6A14"/>
    <w:rsid w:val="00BB722E"/>
    <w:rsid w:val="00BC1C52"/>
    <w:rsid w:val="00BC2879"/>
    <w:rsid w:val="00BC2DA3"/>
    <w:rsid w:val="00BC7F76"/>
    <w:rsid w:val="00BD0BB3"/>
    <w:rsid w:val="00BD0FD3"/>
    <w:rsid w:val="00BD4D61"/>
    <w:rsid w:val="00BD562D"/>
    <w:rsid w:val="00BD73FF"/>
    <w:rsid w:val="00BE15C7"/>
    <w:rsid w:val="00BF4400"/>
    <w:rsid w:val="00BF6ACD"/>
    <w:rsid w:val="00BF6D7F"/>
    <w:rsid w:val="00C00219"/>
    <w:rsid w:val="00C01003"/>
    <w:rsid w:val="00C03E5D"/>
    <w:rsid w:val="00C044CF"/>
    <w:rsid w:val="00C05B09"/>
    <w:rsid w:val="00C069D4"/>
    <w:rsid w:val="00C11F09"/>
    <w:rsid w:val="00C1385C"/>
    <w:rsid w:val="00C13BE0"/>
    <w:rsid w:val="00C200D2"/>
    <w:rsid w:val="00C241CE"/>
    <w:rsid w:val="00C24B4C"/>
    <w:rsid w:val="00C33DAA"/>
    <w:rsid w:val="00C3581A"/>
    <w:rsid w:val="00C40DF1"/>
    <w:rsid w:val="00C43485"/>
    <w:rsid w:val="00C4424B"/>
    <w:rsid w:val="00C4583B"/>
    <w:rsid w:val="00C4657D"/>
    <w:rsid w:val="00C5052B"/>
    <w:rsid w:val="00C51CB5"/>
    <w:rsid w:val="00C64345"/>
    <w:rsid w:val="00C70023"/>
    <w:rsid w:val="00C7018F"/>
    <w:rsid w:val="00C712CD"/>
    <w:rsid w:val="00C71CC1"/>
    <w:rsid w:val="00C73101"/>
    <w:rsid w:val="00C73D39"/>
    <w:rsid w:val="00C76CEA"/>
    <w:rsid w:val="00C8380B"/>
    <w:rsid w:val="00C86467"/>
    <w:rsid w:val="00C86E58"/>
    <w:rsid w:val="00C870BD"/>
    <w:rsid w:val="00C92D89"/>
    <w:rsid w:val="00C9376C"/>
    <w:rsid w:val="00C9407B"/>
    <w:rsid w:val="00CA0CB5"/>
    <w:rsid w:val="00CA1BA4"/>
    <w:rsid w:val="00CB2F61"/>
    <w:rsid w:val="00CB36BD"/>
    <w:rsid w:val="00CB5CBD"/>
    <w:rsid w:val="00CB6B55"/>
    <w:rsid w:val="00CB6F7C"/>
    <w:rsid w:val="00CC0D0E"/>
    <w:rsid w:val="00CC2696"/>
    <w:rsid w:val="00CC7A6F"/>
    <w:rsid w:val="00CD1E16"/>
    <w:rsid w:val="00CD38FA"/>
    <w:rsid w:val="00CD46A0"/>
    <w:rsid w:val="00CD4D29"/>
    <w:rsid w:val="00CD764D"/>
    <w:rsid w:val="00CE1E71"/>
    <w:rsid w:val="00CF5375"/>
    <w:rsid w:val="00CF6C02"/>
    <w:rsid w:val="00CF7EC2"/>
    <w:rsid w:val="00D03CC7"/>
    <w:rsid w:val="00D05FEB"/>
    <w:rsid w:val="00D151EB"/>
    <w:rsid w:val="00D1742C"/>
    <w:rsid w:val="00D17D8C"/>
    <w:rsid w:val="00D233AF"/>
    <w:rsid w:val="00D269C5"/>
    <w:rsid w:val="00D2706F"/>
    <w:rsid w:val="00D27853"/>
    <w:rsid w:val="00D27DD0"/>
    <w:rsid w:val="00D316C5"/>
    <w:rsid w:val="00D40904"/>
    <w:rsid w:val="00D41DB3"/>
    <w:rsid w:val="00D42FAE"/>
    <w:rsid w:val="00D4382A"/>
    <w:rsid w:val="00D53C9D"/>
    <w:rsid w:val="00D55F6F"/>
    <w:rsid w:val="00D62C52"/>
    <w:rsid w:val="00D64320"/>
    <w:rsid w:val="00D6603B"/>
    <w:rsid w:val="00D73C71"/>
    <w:rsid w:val="00D75951"/>
    <w:rsid w:val="00D75F42"/>
    <w:rsid w:val="00D775A0"/>
    <w:rsid w:val="00D800BC"/>
    <w:rsid w:val="00D80330"/>
    <w:rsid w:val="00D80A38"/>
    <w:rsid w:val="00D82026"/>
    <w:rsid w:val="00D82C76"/>
    <w:rsid w:val="00D84EBC"/>
    <w:rsid w:val="00D85DED"/>
    <w:rsid w:val="00D86254"/>
    <w:rsid w:val="00D87297"/>
    <w:rsid w:val="00D92072"/>
    <w:rsid w:val="00D92357"/>
    <w:rsid w:val="00D96F28"/>
    <w:rsid w:val="00D977BD"/>
    <w:rsid w:val="00DA19C2"/>
    <w:rsid w:val="00DA43D0"/>
    <w:rsid w:val="00DA767C"/>
    <w:rsid w:val="00DB73C4"/>
    <w:rsid w:val="00DC42E6"/>
    <w:rsid w:val="00DC4B58"/>
    <w:rsid w:val="00DC5709"/>
    <w:rsid w:val="00DC7FF2"/>
    <w:rsid w:val="00DD0F9E"/>
    <w:rsid w:val="00DD4399"/>
    <w:rsid w:val="00DE314C"/>
    <w:rsid w:val="00DE4D1E"/>
    <w:rsid w:val="00DE5669"/>
    <w:rsid w:val="00DE690E"/>
    <w:rsid w:val="00DF1E47"/>
    <w:rsid w:val="00DF394C"/>
    <w:rsid w:val="00DF3C70"/>
    <w:rsid w:val="00DF4D66"/>
    <w:rsid w:val="00DF5B85"/>
    <w:rsid w:val="00DF69BC"/>
    <w:rsid w:val="00DF740B"/>
    <w:rsid w:val="00E10EF9"/>
    <w:rsid w:val="00E13FFD"/>
    <w:rsid w:val="00E15C78"/>
    <w:rsid w:val="00E21605"/>
    <w:rsid w:val="00E24574"/>
    <w:rsid w:val="00E25A5F"/>
    <w:rsid w:val="00E2653A"/>
    <w:rsid w:val="00E305FB"/>
    <w:rsid w:val="00E31C88"/>
    <w:rsid w:val="00E323CF"/>
    <w:rsid w:val="00E34194"/>
    <w:rsid w:val="00E35E3F"/>
    <w:rsid w:val="00E465EA"/>
    <w:rsid w:val="00E47970"/>
    <w:rsid w:val="00E520E9"/>
    <w:rsid w:val="00E5329D"/>
    <w:rsid w:val="00E55839"/>
    <w:rsid w:val="00E561E9"/>
    <w:rsid w:val="00E611A6"/>
    <w:rsid w:val="00E65084"/>
    <w:rsid w:val="00E65C3E"/>
    <w:rsid w:val="00E67F1C"/>
    <w:rsid w:val="00E75E8C"/>
    <w:rsid w:val="00E81B39"/>
    <w:rsid w:val="00E864C6"/>
    <w:rsid w:val="00E87149"/>
    <w:rsid w:val="00E903D3"/>
    <w:rsid w:val="00E918B9"/>
    <w:rsid w:val="00E92142"/>
    <w:rsid w:val="00E95693"/>
    <w:rsid w:val="00E959ED"/>
    <w:rsid w:val="00E95CFB"/>
    <w:rsid w:val="00E95DF0"/>
    <w:rsid w:val="00E95F1D"/>
    <w:rsid w:val="00E97F3A"/>
    <w:rsid w:val="00EA39F6"/>
    <w:rsid w:val="00EA3DC0"/>
    <w:rsid w:val="00EA421E"/>
    <w:rsid w:val="00EA67A6"/>
    <w:rsid w:val="00EA6BE3"/>
    <w:rsid w:val="00EB0CFB"/>
    <w:rsid w:val="00EB116C"/>
    <w:rsid w:val="00EB1735"/>
    <w:rsid w:val="00EB3026"/>
    <w:rsid w:val="00EB414C"/>
    <w:rsid w:val="00ED6157"/>
    <w:rsid w:val="00EE00A8"/>
    <w:rsid w:val="00EE2340"/>
    <w:rsid w:val="00EE3C79"/>
    <w:rsid w:val="00EE6706"/>
    <w:rsid w:val="00EE68F7"/>
    <w:rsid w:val="00EF1BE2"/>
    <w:rsid w:val="00EF31E6"/>
    <w:rsid w:val="00EF547B"/>
    <w:rsid w:val="00F007C4"/>
    <w:rsid w:val="00F0645F"/>
    <w:rsid w:val="00F13D9D"/>
    <w:rsid w:val="00F164D2"/>
    <w:rsid w:val="00F17507"/>
    <w:rsid w:val="00F2053B"/>
    <w:rsid w:val="00F2710B"/>
    <w:rsid w:val="00F318F4"/>
    <w:rsid w:val="00F3246A"/>
    <w:rsid w:val="00F44A41"/>
    <w:rsid w:val="00F46FF0"/>
    <w:rsid w:val="00F501B1"/>
    <w:rsid w:val="00F51926"/>
    <w:rsid w:val="00F51D43"/>
    <w:rsid w:val="00F53F0E"/>
    <w:rsid w:val="00F541F7"/>
    <w:rsid w:val="00F54C60"/>
    <w:rsid w:val="00F557E3"/>
    <w:rsid w:val="00F612F1"/>
    <w:rsid w:val="00F65D3E"/>
    <w:rsid w:val="00F72F59"/>
    <w:rsid w:val="00F7638C"/>
    <w:rsid w:val="00F81E8B"/>
    <w:rsid w:val="00F8266C"/>
    <w:rsid w:val="00F83FA3"/>
    <w:rsid w:val="00F86B13"/>
    <w:rsid w:val="00F87B47"/>
    <w:rsid w:val="00F87F25"/>
    <w:rsid w:val="00F920E0"/>
    <w:rsid w:val="00F96EC2"/>
    <w:rsid w:val="00FA016A"/>
    <w:rsid w:val="00FA2708"/>
    <w:rsid w:val="00FA3F0D"/>
    <w:rsid w:val="00FA48EF"/>
    <w:rsid w:val="00FB4004"/>
    <w:rsid w:val="00FB58D5"/>
    <w:rsid w:val="00FC1412"/>
    <w:rsid w:val="00FC26A0"/>
    <w:rsid w:val="00FC3BC4"/>
    <w:rsid w:val="00FC463F"/>
    <w:rsid w:val="00FC4ECF"/>
    <w:rsid w:val="00FC5BA5"/>
    <w:rsid w:val="00FC7452"/>
    <w:rsid w:val="00FD1F3A"/>
    <w:rsid w:val="00FD2E3C"/>
    <w:rsid w:val="00FD5F86"/>
    <w:rsid w:val="00FD7305"/>
    <w:rsid w:val="00FE2CBE"/>
    <w:rsid w:val="00FE789C"/>
    <w:rsid w:val="00FF038F"/>
    <w:rsid w:val="00FF049E"/>
    <w:rsid w:val="00FF2764"/>
    <w:rsid w:val="00FF27DB"/>
    <w:rsid w:val="00FF35D6"/>
    <w:rsid w:val="00FF7B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CBE8-87C8-43C1-8A12-C6834784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8C"/>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56B1B"/>
    <w:pPr>
      <w:keepNext/>
      <w:ind w:left="709" w:hanging="709"/>
      <w:outlineLvl w:val="2"/>
    </w:pPr>
    <w:rPr>
      <w:rFonts w:ascii="Arial" w:hAnsi="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E75E8C"/>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E75E8C"/>
    <w:rPr>
      <w:rFonts w:ascii="Arial Unicode MS" w:eastAsia="Arial Unicode MS" w:hAnsi="Arial Unicode MS" w:cs="Arial Unicode MS"/>
      <w:sz w:val="24"/>
      <w:szCs w:val="24"/>
      <w:lang w:val="es-ES" w:eastAsia="es-ES"/>
    </w:rPr>
  </w:style>
  <w:style w:type="paragraph" w:customStyle="1" w:styleId="Default">
    <w:name w:val="Default"/>
    <w:rsid w:val="00E75E8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E75E8C"/>
    <w:pPr>
      <w:ind w:left="720"/>
      <w:contextualSpacing/>
    </w:pPr>
  </w:style>
  <w:style w:type="paragraph" w:styleId="NormalWeb">
    <w:name w:val="Normal (Web)"/>
    <w:basedOn w:val="Normal"/>
    <w:uiPriority w:val="99"/>
    <w:unhideWhenUsed/>
    <w:rsid w:val="00E75E8C"/>
    <w:pPr>
      <w:spacing w:before="100" w:beforeAutospacing="1" w:after="100" w:afterAutospacing="1"/>
    </w:pPr>
    <w:rPr>
      <w:lang w:val="es-CL" w:eastAsia="es-CL"/>
    </w:rPr>
  </w:style>
  <w:style w:type="paragraph" w:styleId="Piedepgina">
    <w:name w:val="footer"/>
    <w:basedOn w:val="Normal"/>
    <w:link w:val="PiedepginaCar"/>
    <w:uiPriority w:val="99"/>
    <w:unhideWhenUsed/>
    <w:rsid w:val="00E75E8C"/>
    <w:pPr>
      <w:tabs>
        <w:tab w:val="center" w:pos="4419"/>
        <w:tab w:val="right" w:pos="8838"/>
      </w:tabs>
    </w:pPr>
  </w:style>
  <w:style w:type="character" w:customStyle="1" w:styleId="PiedepginaCar">
    <w:name w:val="Pie de página Car"/>
    <w:basedOn w:val="Fuentedeprrafopredeter"/>
    <w:link w:val="Piedepgina"/>
    <w:uiPriority w:val="99"/>
    <w:rsid w:val="00E75E8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96E51"/>
    <w:rPr>
      <w:color w:val="0563C1" w:themeColor="hyperlink"/>
      <w:u w:val="single"/>
    </w:rPr>
  </w:style>
  <w:style w:type="paragraph" w:styleId="Textodeglobo">
    <w:name w:val="Balloon Text"/>
    <w:basedOn w:val="Normal"/>
    <w:link w:val="TextodegloboCar"/>
    <w:uiPriority w:val="99"/>
    <w:semiHidden/>
    <w:unhideWhenUsed/>
    <w:rsid w:val="00B76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D2C"/>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D05B1"/>
    <w:rPr>
      <w:sz w:val="16"/>
      <w:szCs w:val="16"/>
    </w:rPr>
  </w:style>
  <w:style w:type="paragraph" w:styleId="Textocomentario">
    <w:name w:val="annotation text"/>
    <w:basedOn w:val="Normal"/>
    <w:link w:val="TextocomentarioCar"/>
    <w:uiPriority w:val="99"/>
    <w:semiHidden/>
    <w:unhideWhenUsed/>
    <w:rsid w:val="004D05B1"/>
    <w:rPr>
      <w:sz w:val="20"/>
      <w:szCs w:val="20"/>
    </w:rPr>
  </w:style>
  <w:style w:type="character" w:customStyle="1" w:styleId="TextocomentarioCar">
    <w:name w:val="Texto comentario Car"/>
    <w:basedOn w:val="Fuentedeprrafopredeter"/>
    <w:link w:val="Textocomentario"/>
    <w:uiPriority w:val="99"/>
    <w:semiHidden/>
    <w:rsid w:val="004D05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05B1"/>
    <w:rPr>
      <w:b/>
      <w:bCs/>
    </w:rPr>
  </w:style>
  <w:style w:type="character" w:customStyle="1" w:styleId="AsuntodelcomentarioCar">
    <w:name w:val="Asunto del comentario Car"/>
    <w:basedOn w:val="TextocomentarioCar"/>
    <w:link w:val="Asuntodelcomentario"/>
    <w:uiPriority w:val="99"/>
    <w:semiHidden/>
    <w:rsid w:val="004D05B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B3EEB"/>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27101"/>
    <w:pPr>
      <w:tabs>
        <w:tab w:val="center" w:pos="4419"/>
        <w:tab w:val="right" w:pos="8838"/>
      </w:tabs>
    </w:pPr>
  </w:style>
  <w:style w:type="character" w:customStyle="1" w:styleId="EncabezadoCar">
    <w:name w:val="Encabezado Car"/>
    <w:basedOn w:val="Fuentedeprrafopredeter"/>
    <w:link w:val="Encabezado"/>
    <w:uiPriority w:val="99"/>
    <w:rsid w:val="00B2710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052C71"/>
    <w:pPr>
      <w:spacing w:after="120"/>
    </w:pPr>
  </w:style>
  <w:style w:type="character" w:customStyle="1" w:styleId="TextoindependienteCar">
    <w:name w:val="Texto independiente Car"/>
    <w:basedOn w:val="Fuentedeprrafopredeter"/>
    <w:link w:val="Textoindependiente"/>
    <w:uiPriority w:val="99"/>
    <w:semiHidden/>
    <w:rsid w:val="00052C71"/>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065BD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E10EF9"/>
    <w:pPr>
      <w:jc w:val="both"/>
    </w:pPr>
    <w:rPr>
      <w:rFonts w:ascii="Century Schoolbook" w:hAnsi="Century Schoolbook"/>
      <w:sz w:val="20"/>
      <w:szCs w:val="20"/>
      <w:lang w:val="es-CL" w:eastAsia="en-US"/>
    </w:rPr>
  </w:style>
  <w:style w:type="character" w:customStyle="1" w:styleId="TextonotapieCar">
    <w:name w:val="Texto nota pie Car"/>
    <w:basedOn w:val="Fuentedeprrafopredeter"/>
    <w:link w:val="Textonotapie"/>
    <w:rsid w:val="00E10EF9"/>
    <w:rPr>
      <w:rFonts w:ascii="Century Schoolbook" w:eastAsia="Times New Roman" w:hAnsi="Century Schoolbook" w:cs="Times New Roman"/>
      <w:sz w:val="20"/>
      <w:szCs w:val="20"/>
    </w:rPr>
  </w:style>
  <w:style w:type="character" w:styleId="Refdenotaalpie">
    <w:name w:val="footnote reference"/>
    <w:rsid w:val="00E10EF9"/>
    <w:rPr>
      <w:vertAlign w:val="superscript"/>
    </w:rPr>
  </w:style>
  <w:style w:type="paragraph" w:styleId="Textosinformato">
    <w:name w:val="Plain Text"/>
    <w:basedOn w:val="Normal"/>
    <w:link w:val="TextosinformatoCar"/>
    <w:uiPriority w:val="99"/>
    <w:unhideWhenUsed/>
    <w:rsid w:val="00A20906"/>
    <w:rPr>
      <w:rFonts w:ascii="Calibri" w:eastAsiaTheme="minorHAnsi" w:hAnsi="Calibri" w:cs="Consolas"/>
      <w:sz w:val="22"/>
      <w:szCs w:val="21"/>
      <w:lang w:val="es-CL" w:eastAsia="en-US"/>
    </w:rPr>
  </w:style>
  <w:style w:type="character" w:customStyle="1" w:styleId="TextosinformatoCar">
    <w:name w:val="Texto sin formato Car"/>
    <w:basedOn w:val="Fuentedeprrafopredeter"/>
    <w:link w:val="Textosinformato"/>
    <w:uiPriority w:val="99"/>
    <w:rsid w:val="00A20906"/>
    <w:rPr>
      <w:rFonts w:ascii="Calibri" w:hAnsi="Calibri" w:cs="Consolas"/>
      <w:szCs w:val="21"/>
    </w:rPr>
  </w:style>
  <w:style w:type="paragraph" w:styleId="HTMLconformatoprevio">
    <w:name w:val="HTML Preformatted"/>
    <w:basedOn w:val="Normal"/>
    <w:link w:val="HTMLconformatoprevioCar"/>
    <w:uiPriority w:val="99"/>
    <w:semiHidden/>
    <w:unhideWhenUsed/>
    <w:rsid w:val="003D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3D5499"/>
    <w:rPr>
      <w:rFonts w:ascii="Courier New" w:eastAsia="Times New Roman" w:hAnsi="Courier New" w:cs="Courier New"/>
      <w:sz w:val="20"/>
      <w:szCs w:val="20"/>
      <w:lang w:eastAsia="es-CL"/>
    </w:rPr>
  </w:style>
  <w:style w:type="paragraph" w:styleId="Textonotaalfinal">
    <w:name w:val="endnote text"/>
    <w:basedOn w:val="Normal"/>
    <w:link w:val="TextonotaalfinalCar"/>
    <w:uiPriority w:val="99"/>
    <w:semiHidden/>
    <w:unhideWhenUsed/>
    <w:rsid w:val="00080113"/>
    <w:rPr>
      <w:sz w:val="20"/>
      <w:szCs w:val="20"/>
    </w:rPr>
  </w:style>
  <w:style w:type="character" w:customStyle="1" w:styleId="TextonotaalfinalCar">
    <w:name w:val="Texto nota al final Car"/>
    <w:basedOn w:val="Fuentedeprrafopredeter"/>
    <w:link w:val="Textonotaalfinal"/>
    <w:uiPriority w:val="99"/>
    <w:semiHidden/>
    <w:rsid w:val="0008011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80113"/>
    <w:rPr>
      <w:vertAlign w:val="superscript"/>
    </w:rPr>
  </w:style>
  <w:style w:type="table" w:styleId="Tablaconcuadrcula">
    <w:name w:val="Table Grid"/>
    <w:basedOn w:val="Tablanormal"/>
    <w:uiPriority w:val="39"/>
    <w:rsid w:val="0088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856B1B"/>
    <w:rPr>
      <w:rFonts w:ascii="Arial" w:eastAsia="Times New Roman" w:hAnsi="Arial" w:cs="Times New Roman"/>
      <w:b/>
      <w:bCs/>
      <w:szCs w:val="20"/>
      <w:lang w:val="es-ES" w:eastAsia="es-ES"/>
    </w:rPr>
  </w:style>
  <w:style w:type="character" w:styleId="Textoennegrita">
    <w:name w:val="Strong"/>
    <w:basedOn w:val="Fuentedeprrafopredeter"/>
    <w:uiPriority w:val="22"/>
    <w:qFormat/>
    <w:rsid w:val="00540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787">
      <w:bodyDiv w:val="1"/>
      <w:marLeft w:val="0"/>
      <w:marRight w:val="0"/>
      <w:marTop w:val="0"/>
      <w:marBottom w:val="0"/>
      <w:divBdr>
        <w:top w:val="none" w:sz="0" w:space="0" w:color="auto"/>
        <w:left w:val="none" w:sz="0" w:space="0" w:color="auto"/>
        <w:bottom w:val="none" w:sz="0" w:space="0" w:color="auto"/>
        <w:right w:val="none" w:sz="0" w:space="0" w:color="auto"/>
      </w:divBdr>
    </w:div>
    <w:div w:id="186144199">
      <w:bodyDiv w:val="1"/>
      <w:marLeft w:val="0"/>
      <w:marRight w:val="0"/>
      <w:marTop w:val="0"/>
      <w:marBottom w:val="0"/>
      <w:divBdr>
        <w:top w:val="none" w:sz="0" w:space="0" w:color="auto"/>
        <w:left w:val="none" w:sz="0" w:space="0" w:color="auto"/>
        <w:bottom w:val="none" w:sz="0" w:space="0" w:color="auto"/>
        <w:right w:val="none" w:sz="0" w:space="0" w:color="auto"/>
      </w:divBdr>
    </w:div>
    <w:div w:id="296449868">
      <w:bodyDiv w:val="1"/>
      <w:marLeft w:val="0"/>
      <w:marRight w:val="0"/>
      <w:marTop w:val="0"/>
      <w:marBottom w:val="0"/>
      <w:divBdr>
        <w:top w:val="none" w:sz="0" w:space="0" w:color="auto"/>
        <w:left w:val="none" w:sz="0" w:space="0" w:color="auto"/>
        <w:bottom w:val="none" w:sz="0" w:space="0" w:color="auto"/>
        <w:right w:val="none" w:sz="0" w:space="0" w:color="auto"/>
      </w:divBdr>
    </w:div>
    <w:div w:id="299845945">
      <w:bodyDiv w:val="1"/>
      <w:marLeft w:val="0"/>
      <w:marRight w:val="0"/>
      <w:marTop w:val="0"/>
      <w:marBottom w:val="0"/>
      <w:divBdr>
        <w:top w:val="none" w:sz="0" w:space="0" w:color="auto"/>
        <w:left w:val="none" w:sz="0" w:space="0" w:color="auto"/>
        <w:bottom w:val="none" w:sz="0" w:space="0" w:color="auto"/>
        <w:right w:val="none" w:sz="0" w:space="0" w:color="auto"/>
      </w:divBdr>
    </w:div>
    <w:div w:id="471143121">
      <w:bodyDiv w:val="1"/>
      <w:marLeft w:val="0"/>
      <w:marRight w:val="0"/>
      <w:marTop w:val="0"/>
      <w:marBottom w:val="0"/>
      <w:divBdr>
        <w:top w:val="none" w:sz="0" w:space="0" w:color="auto"/>
        <w:left w:val="none" w:sz="0" w:space="0" w:color="auto"/>
        <w:bottom w:val="none" w:sz="0" w:space="0" w:color="auto"/>
        <w:right w:val="none" w:sz="0" w:space="0" w:color="auto"/>
      </w:divBdr>
    </w:div>
    <w:div w:id="549001345">
      <w:bodyDiv w:val="1"/>
      <w:marLeft w:val="0"/>
      <w:marRight w:val="0"/>
      <w:marTop w:val="0"/>
      <w:marBottom w:val="0"/>
      <w:divBdr>
        <w:top w:val="none" w:sz="0" w:space="0" w:color="auto"/>
        <w:left w:val="none" w:sz="0" w:space="0" w:color="auto"/>
        <w:bottom w:val="none" w:sz="0" w:space="0" w:color="auto"/>
        <w:right w:val="none" w:sz="0" w:space="0" w:color="auto"/>
      </w:divBdr>
    </w:div>
    <w:div w:id="558590411">
      <w:bodyDiv w:val="1"/>
      <w:marLeft w:val="0"/>
      <w:marRight w:val="0"/>
      <w:marTop w:val="0"/>
      <w:marBottom w:val="0"/>
      <w:divBdr>
        <w:top w:val="none" w:sz="0" w:space="0" w:color="auto"/>
        <w:left w:val="none" w:sz="0" w:space="0" w:color="auto"/>
        <w:bottom w:val="none" w:sz="0" w:space="0" w:color="auto"/>
        <w:right w:val="none" w:sz="0" w:space="0" w:color="auto"/>
      </w:divBdr>
    </w:div>
    <w:div w:id="573860950">
      <w:bodyDiv w:val="1"/>
      <w:marLeft w:val="0"/>
      <w:marRight w:val="0"/>
      <w:marTop w:val="0"/>
      <w:marBottom w:val="0"/>
      <w:divBdr>
        <w:top w:val="none" w:sz="0" w:space="0" w:color="auto"/>
        <w:left w:val="none" w:sz="0" w:space="0" w:color="auto"/>
        <w:bottom w:val="none" w:sz="0" w:space="0" w:color="auto"/>
        <w:right w:val="none" w:sz="0" w:space="0" w:color="auto"/>
      </w:divBdr>
    </w:div>
    <w:div w:id="591936528">
      <w:bodyDiv w:val="1"/>
      <w:marLeft w:val="0"/>
      <w:marRight w:val="0"/>
      <w:marTop w:val="0"/>
      <w:marBottom w:val="0"/>
      <w:divBdr>
        <w:top w:val="none" w:sz="0" w:space="0" w:color="auto"/>
        <w:left w:val="none" w:sz="0" w:space="0" w:color="auto"/>
        <w:bottom w:val="none" w:sz="0" w:space="0" w:color="auto"/>
        <w:right w:val="none" w:sz="0" w:space="0" w:color="auto"/>
      </w:divBdr>
    </w:div>
    <w:div w:id="605622501">
      <w:bodyDiv w:val="1"/>
      <w:marLeft w:val="0"/>
      <w:marRight w:val="0"/>
      <w:marTop w:val="0"/>
      <w:marBottom w:val="0"/>
      <w:divBdr>
        <w:top w:val="none" w:sz="0" w:space="0" w:color="auto"/>
        <w:left w:val="none" w:sz="0" w:space="0" w:color="auto"/>
        <w:bottom w:val="none" w:sz="0" w:space="0" w:color="auto"/>
        <w:right w:val="none" w:sz="0" w:space="0" w:color="auto"/>
      </w:divBdr>
    </w:div>
    <w:div w:id="692809060">
      <w:bodyDiv w:val="1"/>
      <w:marLeft w:val="0"/>
      <w:marRight w:val="0"/>
      <w:marTop w:val="0"/>
      <w:marBottom w:val="0"/>
      <w:divBdr>
        <w:top w:val="none" w:sz="0" w:space="0" w:color="auto"/>
        <w:left w:val="none" w:sz="0" w:space="0" w:color="auto"/>
        <w:bottom w:val="none" w:sz="0" w:space="0" w:color="auto"/>
        <w:right w:val="none" w:sz="0" w:space="0" w:color="auto"/>
      </w:divBdr>
    </w:div>
    <w:div w:id="775252442">
      <w:bodyDiv w:val="1"/>
      <w:marLeft w:val="0"/>
      <w:marRight w:val="0"/>
      <w:marTop w:val="0"/>
      <w:marBottom w:val="0"/>
      <w:divBdr>
        <w:top w:val="none" w:sz="0" w:space="0" w:color="auto"/>
        <w:left w:val="none" w:sz="0" w:space="0" w:color="auto"/>
        <w:bottom w:val="none" w:sz="0" w:space="0" w:color="auto"/>
        <w:right w:val="none" w:sz="0" w:space="0" w:color="auto"/>
      </w:divBdr>
    </w:div>
    <w:div w:id="790823348">
      <w:bodyDiv w:val="1"/>
      <w:marLeft w:val="0"/>
      <w:marRight w:val="0"/>
      <w:marTop w:val="0"/>
      <w:marBottom w:val="0"/>
      <w:divBdr>
        <w:top w:val="none" w:sz="0" w:space="0" w:color="auto"/>
        <w:left w:val="none" w:sz="0" w:space="0" w:color="auto"/>
        <w:bottom w:val="none" w:sz="0" w:space="0" w:color="auto"/>
        <w:right w:val="none" w:sz="0" w:space="0" w:color="auto"/>
      </w:divBdr>
    </w:div>
    <w:div w:id="803741648">
      <w:bodyDiv w:val="1"/>
      <w:marLeft w:val="0"/>
      <w:marRight w:val="0"/>
      <w:marTop w:val="0"/>
      <w:marBottom w:val="0"/>
      <w:divBdr>
        <w:top w:val="none" w:sz="0" w:space="0" w:color="auto"/>
        <w:left w:val="none" w:sz="0" w:space="0" w:color="auto"/>
        <w:bottom w:val="none" w:sz="0" w:space="0" w:color="auto"/>
        <w:right w:val="none" w:sz="0" w:space="0" w:color="auto"/>
      </w:divBdr>
    </w:div>
    <w:div w:id="1009216647">
      <w:bodyDiv w:val="1"/>
      <w:marLeft w:val="0"/>
      <w:marRight w:val="0"/>
      <w:marTop w:val="0"/>
      <w:marBottom w:val="0"/>
      <w:divBdr>
        <w:top w:val="none" w:sz="0" w:space="0" w:color="auto"/>
        <w:left w:val="none" w:sz="0" w:space="0" w:color="auto"/>
        <w:bottom w:val="none" w:sz="0" w:space="0" w:color="auto"/>
        <w:right w:val="none" w:sz="0" w:space="0" w:color="auto"/>
      </w:divBdr>
    </w:div>
    <w:div w:id="1053230734">
      <w:bodyDiv w:val="1"/>
      <w:marLeft w:val="0"/>
      <w:marRight w:val="0"/>
      <w:marTop w:val="0"/>
      <w:marBottom w:val="0"/>
      <w:divBdr>
        <w:top w:val="none" w:sz="0" w:space="0" w:color="auto"/>
        <w:left w:val="none" w:sz="0" w:space="0" w:color="auto"/>
        <w:bottom w:val="none" w:sz="0" w:space="0" w:color="auto"/>
        <w:right w:val="none" w:sz="0" w:space="0" w:color="auto"/>
      </w:divBdr>
    </w:div>
    <w:div w:id="1097601646">
      <w:bodyDiv w:val="1"/>
      <w:marLeft w:val="0"/>
      <w:marRight w:val="0"/>
      <w:marTop w:val="0"/>
      <w:marBottom w:val="0"/>
      <w:divBdr>
        <w:top w:val="none" w:sz="0" w:space="0" w:color="auto"/>
        <w:left w:val="none" w:sz="0" w:space="0" w:color="auto"/>
        <w:bottom w:val="none" w:sz="0" w:space="0" w:color="auto"/>
        <w:right w:val="none" w:sz="0" w:space="0" w:color="auto"/>
      </w:divBdr>
    </w:div>
    <w:div w:id="1165436365">
      <w:bodyDiv w:val="1"/>
      <w:marLeft w:val="0"/>
      <w:marRight w:val="0"/>
      <w:marTop w:val="0"/>
      <w:marBottom w:val="0"/>
      <w:divBdr>
        <w:top w:val="none" w:sz="0" w:space="0" w:color="auto"/>
        <w:left w:val="none" w:sz="0" w:space="0" w:color="auto"/>
        <w:bottom w:val="none" w:sz="0" w:space="0" w:color="auto"/>
        <w:right w:val="none" w:sz="0" w:space="0" w:color="auto"/>
      </w:divBdr>
    </w:div>
    <w:div w:id="1168718186">
      <w:bodyDiv w:val="1"/>
      <w:marLeft w:val="0"/>
      <w:marRight w:val="0"/>
      <w:marTop w:val="0"/>
      <w:marBottom w:val="0"/>
      <w:divBdr>
        <w:top w:val="none" w:sz="0" w:space="0" w:color="auto"/>
        <w:left w:val="none" w:sz="0" w:space="0" w:color="auto"/>
        <w:bottom w:val="none" w:sz="0" w:space="0" w:color="auto"/>
        <w:right w:val="none" w:sz="0" w:space="0" w:color="auto"/>
      </w:divBdr>
    </w:div>
    <w:div w:id="1238857267">
      <w:bodyDiv w:val="1"/>
      <w:marLeft w:val="0"/>
      <w:marRight w:val="0"/>
      <w:marTop w:val="0"/>
      <w:marBottom w:val="0"/>
      <w:divBdr>
        <w:top w:val="none" w:sz="0" w:space="0" w:color="auto"/>
        <w:left w:val="none" w:sz="0" w:space="0" w:color="auto"/>
        <w:bottom w:val="none" w:sz="0" w:space="0" w:color="auto"/>
        <w:right w:val="none" w:sz="0" w:space="0" w:color="auto"/>
      </w:divBdr>
    </w:div>
    <w:div w:id="1249146894">
      <w:bodyDiv w:val="1"/>
      <w:marLeft w:val="0"/>
      <w:marRight w:val="0"/>
      <w:marTop w:val="0"/>
      <w:marBottom w:val="0"/>
      <w:divBdr>
        <w:top w:val="none" w:sz="0" w:space="0" w:color="auto"/>
        <w:left w:val="none" w:sz="0" w:space="0" w:color="auto"/>
        <w:bottom w:val="none" w:sz="0" w:space="0" w:color="auto"/>
        <w:right w:val="none" w:sz="0" w:space="0" w:color="auto"/>
      </w:divBdr>
    </w:div>
    <w:div w:id="1369375180">
      <w:bodyDiv w:val="1"/>
      <w:marLeft w:val="0"/>
      <w:marRight w:val="0"/>
      <w:marTop w:val="0"/>
      <w:marBottom w:val="0"/>
      <w:divBdr>
        <w:top w:val="none" w:sz="0" w:space="0" w:color="auto"/>
        <w:left w:val="none" w:sz="0" w:space="0" w:color="auto"/>
        <w:bottom w:val="none" w:sz="0" w:space="0" w:color="auto"/>
        <w:right w:val="none" w:sz="0" w:space="0" w:color="auto"/>
      </w:divBdr>
    </w:div>
    <w:div w:id="1535651649">
      <w:bodyDiv w:val="1"/>
      <w:marLeft w:val="0"/>
      <w:marRight w:val="0"/>
      <w:marTop w:val="0"/>
      <w:marBottom w:val="0"/>
      <w:divBdr>
        <w:top w:val="none" w:sz="0" w:space="0" w:color="auto"/>
        <w:left w:val="none" w:sz="0" w:space="0" w:color="auto"/>
        <w:bottom w:val="none" w:sz="0" w:space="0" w:color="auto"/>
        <w:right w:val="none" w:sz="0" w:space="0" w:color="auto"/>
      </w:divBdr>
    </w:div>
    <w:div w:id="1568149921">
      <w:bodyDiv w:val="1"/>
      <w:marLeft w:val="0"/>
      <w:marRight w:val="0"/>
      <w:marTop w:val="0"/>
      <w:marBottom w:val="0"/>
      <w:divBdr>
        <w:top w:val="none" w:sz="0" w:space="0" w:color="auto"/>
        <w:left w:val="none" w:sz="0" w:space="0" w:color="auto"/>
        <w:bottom w:val="none" w:sz="0" w:space="0" w:color="auto"/>
        <w:right w:val="none" w:sz="0" w:space="0" w:color="auto"/>
      </w:divBdr>
    </w:div>
    <w:div w:id="1963802182">
      <w:bodyDiv w:val="1"/>
      <w:marLeft w:val="0"/>
      <w:marRight w:val="0"/>
      <w:marTop w:val="0"/>
      <w:marBottom w:val="0"/>
      <w:divBdr>
        <w:top w:val="none" w:sz="0" w:space="0" w:color="auto"/>
        <w:left w:val="none" w:sz="0" w:space="0" w:color="auto"/>
        <w:bottom w:val="none" w:sz="0" w:space="0" w:color="auto"/>
        <w:right w:val="none" w:sz="0" w:space="0" w:color="auto"/>
      </w:divBdr>
    </w:div>
    <w:div w:id="1969509121">
      <w:bodyDiv w:val="1"/>
      <w:marLeft w:val="0"/>
      <w:marRight w:val="0"/>
      <w:marTop w:val="0"/>
      <w:marBottom w:val="0"/>
      <w:divBdr>
        <w:top w:val="none" w:sz="0" w:space="0" w:color="auto"/>
        <w:left w:val="none" w:sz="0" w:space="0" w:color="auto"/>
        <w:bottom w:val="none" w:sz="0" w:space="0" w:color="auto"/>
        <w:right w:val="none" w:sz="0" w:space="0" w:color="auto"/>
      </w:divBdr>
    </w:div>
    <w:div w:id="2034840596">
      <w:bodyDiv w:val="1"/>
      <w:marLeft w:val="0"/>
      <w:marRight w:val="0"/>
      <w:marTop w:val="0"/>
      <w:marBottom w:val="0"/>
      <w:divBdr>
        <w:top w:val="none" w:sz="0" w:space="0" w:color="auto"/>
        <w:left w:val="none" w:sz="0" w:space="0" w:color="auto"/>
        <w:bottom w:val="none" w:sz="0" w:space="0" w:color="auto"/>
        <w:right w:val="none" w:sz="0" w:space="0" w:color="auto"/>
      </w:divBdr>
    </w:div>
    <w:div w:id="2072578079">
      <w:bodyDiv w:val="1"/>
      <w:marLeft w:val="0"/>
      <w:marRight w:val="0"/>
      <w:marTop w:val="0"/>
      <w:marBottom w:val="0"/>
      <w:divBdr>
        <w:top w:val="none" w:sz="0" w:space="0" w:color="auto"/>
        <w:left w:val="none" w:sz="0" w:space="0" w:color="auto"/>
        <w:bottom w:val="none" w:sz="0" w:space="0" w:color="auto"/>
        <w:right w:val="none" w:sz="0" w:space="0" w:color="auto"/>
      </w:divBdr>
    </w:div>
    <w:div w:id="21162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D3C4-712C-4122-9309-8D3988B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Jert, Pamela Jara, Omar Estrada;Gerardo Escudero</dc:creator>
  <cp:keywords/>
  <dc:description/>
  <cp:lastModifiedBy>María Paz</cp:lastModifiedBy>
  <cp:revision>9</cp:revision>
  <cp:lastPrinted>2018-07-04T21:26:00Z</cp:lastPrinted>
  <dcterms:created xsi:type="dcterms:W3CDTF">2018-12-10T14:46:00Z</dcterms:created>
  <dcterms:modified xsi:type="dcterms:W3CDTF">2018-12-13T14:45:00Z</dcterms:modified>
</cp:coreProperties>
</file>