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FA9" w:rsidRDefault="003A5FA9" w:rsidP="003A5FA9">
      <w:pPr>
        <w:contextualSpacing/>
        <w:jc w:val="center"/>
        <w:rPr>
          <w:rFonts w:ascii="Times New Roman" w:hAnsi="Times New Roman" w:cs="Times New Roman"/>
          <w:b/>
          <w:bCs/>
        </w:rPr>
      </w:pPr>
      <w:r w:rsidRPr="0099719E">
        <w:rPr>
          <w:rFonts w:ascii="Times New Roman" w:hAnsi="Times New Roman" w:cs="Times New Roman"/>
          <w:b/>
          <w:bCs/>
        </w:rPr>
        <w:t>RENTA – ACTUAL LEY SOBRE IMPUESTO A LA –</w:t>
      </w:r>
      <w:r>
        <w:rPr>
          <w:rFonts w:ascii="Times New Roman" w:hAnsi="Times New Roman" w:cs="Times New Roman"/>
          <w:b/>
          <w:bCs/>
        </w:rPr>
        <w:t xml:space="preserve"> ART. 41E – </w:t>
      </w:r>
      <w:r w:rsidRPr="003D313C">
        <w:rPr>
          <w:rFonts w:ascii="Times New Roman" w:hAnsi="Times New Roman" w:cs="Times New Roman"/>
          <w:b/>
          <w:bCs/>
        </w:rPr>
        <w:t>CONVENIO ENTRE EL GOBIERNO DE LA REPÚBLICA DE CHILE Y EL GOBIERNO DE LA REPÚBLICA POPULAR CHINA PARA ELIMINAR LA DOBLE IMPOSICIÓN Y PARA PREVENIR LA EVASIÓN Y ELUSIÓN FISCAL EN RELACIÓN</w:t>
      </w:r>
      <w:r>
        <w:rPr>
          <w:rFonts w:ascii="Times New Roman" w:hAnsi="Times New Roman" w:cs="Times New Roman"/>
          <w:b/>
          <w:bCs/>
        </w:rPr>
        <w:t xml:space="preserve"> A LOS IMPUESTOS SOBRE LA RENTA, ART. 12. (ORD. N° 124, DE 18.01.2018)</w:t>
      </w:r>
    </w:p>
    <w:p w:rsidR="005D54E1" w:rsidRPr="00D966D8" w:rsidRDefault="003A5FA9" w:rsidP="003A5FA9">
      <w:pPr>
        <w:contextualSpacing/>
        <w:jc w:val="center"/>
        <w:rPr>
          <w:rFonts w:ascii="Times New Roman" w:hAnsi="Times New Roman" w:cs="Times New Roman"/>
          <w:b/>
        </w:rPr>
      </w:pP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p>
    <w:p w:rsidR="00D966D8" w:rsidRPr="00D966D8" w:rsidRDefault="00D966D8" w:rsidP="00D966D8">
      <w:pPr>
        <w:pStyle w:val="Textoindependiente"/>
        <w:rPr>
          <w:rFonts w:ascii="Times New Roman" w:hAnsi="Times New Roman" w:cs="Times New Roman"/>
          <w:szCs w:val="22"/>
        </w:rPr>
      </w:pPr>
      <w:r w:rsidRPr="00D966D8">
        <w:rPr>
          <w:rFonts w:ascii="Times New Roman" w:hAnsi="Times New Roman" w:cs="Times New Roman"/>
          <w:szCs w:val="22"/>
        </w:rPr>
        <w:t>Interpretación del Artículo 12(3) del Convenio para eliminar la doble imposición y prevenir la evasión y elusión fiscal con la República Popular de China</w:t>
      </w:r>
    </w:p>
    <w:p w:rsidR="003C2304" w:rsidRPr="00D966D8" w:rsidRDefault="003C2304" w:rsidP="00D966D8">
      <w:pPr>
        <w:spacing w:after="0" w:line="240" w:lineRule="auto"/>
        <w:ind w:left="284" w:hanging="284"/>
        <w:jc w:val="both"/>
        <w:rPr>
          <w:rFonts w:ascii="Times New Roman" w:hAnsi="Times New Roman" w:cs="Times New Roman"/>
          <w:b/>
        </w:rPr>
      </w:pPr>
    </w:p>
    <w:p w:rsidR="009A6D5E" w:rsidRPr="00D966D8" w:rsidRDefault="009A6D5E" w:rsidP="00D966D8">
      <w:pPr>
        <w:spacing w:after="0" w:line="240" w:lineRule="auto"/>
        <w:ind w:left="284"/>
        <w:jc w:val="both"/>
        <w:rPr>
          <w:rFonts w:ascii="Times New Roman" w:hAnsi="Times New Roman" w:cs="Times New Roman"/>
        </w:rPr>
      </w:pPr>
      <w:r w:rsidRPr="00D966D8">
        <w:rPr>
          <w:rFonts w:ascii="Times New Roman" w:hAnsi="Times New Roman" w:cs="Times New Roman"/>
        </w:rPr>
        <w:t>Respecto de la consulta que se ha recibido de parte del Director de la Dirección de Grandes Contribuyentes (“DGC”) sobre la interpretación del Artículo 12(3) del “</w:t>
      </w:r>
      <w:r w:rsidRPr="00D966D8">
        <w:rPr>
          <w:rFonts w:ascii="Times New Roman" w:hAnsi="Times New Roman" w:cs="Times New Roman"/>
          <w:i/>
        </w:rPr>
        <w:t>Convenio entre el Gobierno de la República de Chile y el Gobierno de la República Popular China para eliminar la doble imposición y para prevenir la evasión y elusión fiscal en relación a los impuestos sobre la renta</w:t>
      </w:r>
      <w:r w:rsidRPr="00D966D8">
        <w:rPr>
          <w:rFonts w:ascii="Times New Roman" w:hAnsi="Times New Roman" w:cs="Times New Roman"/>
        </w:rPr>
        <w:t>” (en adelante el “Convenio con China”), frente a los planteamientos formulados por un contribuyente, se señala lo siguiente:</w:t>
      </w:r>
    </w:p>
    <w:p w:rsidR="00566DCB" w:rsidRPr="00D966D8" w:rsidRDefault="00566DCB" w:rsidP="00D966D8">
      <w:pPr>
        <w:spacing w:after="0" w:line="240" w:lineRule="auto"/>
        <w:ind w:left="284" w:hanging="284"/>
        <w:jc w:val="both"/>
        <w:rPr>
          <w:rFonts w:ascii="Times New Roman" w:hAnsi="Times New Roman" w:cs="Times New Roman"/>
        </w:rPr>
      </w:pPr>
    </w:p>
    <w:p w:rsidR="009A6D5E" w:rsidRPr="00D966D8" w:rsidRDefault="009A6D5E" w:rsidP="00D966D8">
      <w:pPr>
        <w:spacing w:after="0" w:line="240" w:lineRule="auto"/>
        <w:ind w:left="284" w:hanging="284"/>
        <w:jc w:val="both"/>
        <w:rPr>
          <w:rFonts w:ascii="Times New Roman" w:hAnsi="Times New Roman" w:cs="Times New Roman"/>
        </w:rPr>
      </w:pPr>
    </w:p>
    <w:p w:rsidR="009A6D5E" w:rsidRPr="00D966D8" w:rsidRDefault="009A6D5E" w:rsidP="00D966D8">
      <w:pPr>
        <w:pStyle w:val="Prrafodelista"/>
        <w:numPr>
          <w:ilvl w:val="0"/>
          <w:numId w:val="4"/>
        </w:numPr>
        <w:spacing w:after="0" w:line="240" w:lineRule="auto"/>
        <w:ind w:left="284" w:hanging="284"/>
        <w:jc w:val="both"/>
        <w:rPr>
          <w:rFonts w:ascii="Times New Roman" w:hAnsi="Times New Roman" w:cs="Times New Roman"/>
          <w:b/>
        </w:rPr>
      </w:pPr>
      <w:r w:rsidRPr="00D966D8">
        <w:rPr>
          <w:rFonts w:ascii="Times New Roman" w:hAnsi="Times New Roman" w:cs="Times New Roman"/>
          <w:b/>
        </w:rPr>
        <w:t>ANTECEDENTES.</w:t>
      </w:r>
    </w:p>
    <w:p w:rsidR="009A6D5E" w:rsidRPr="00D966D8" w:rsidRDefault="009A6D5E" w:rsidP="00D966D8">
      <w:pPr>
        <w:spacing w:after="0" w:line="240" w:lineRule="auto"/>
        <w:ind w:left="284" w:hanging="284"/>
        <w:jc w:val="both"/>
        <w:rPr>
          <w:rFonts w:ascii="Times New Roman" w:hAnsi="Times New Roman" w:cs="Times New Roman"/>
          <w:b/>
        </w:rPr>
      </w:pPr>
    </w:p>
    <w:p w:rsidR="009A6D5E" w:rsidRPr="00D966D8" w:rsidRDefault="009A6D5E" w:rsidP="00D966D8">
      <w:pPr>
        <w:spacing w:after="0" w:line="240" w:lineRule="auto"/>
        <w:ind w:left="284" w:hanging="284"/>
        <w:jc w:val="both"/>
        <w:rPr>
          <w:rFonts w:ascii="Times New Roman" w:hAnsi="Times New Roman" w:cs="Times New Roman"/>
        </w:rPr>
      </w:pPr>
      <w:r w:rsidRPr="00D966D8">
        <w:rPr>
          <w:rFonts w:ascii="Times New Roman" w:hAnsi="Times New Roman" w:cs="Times New Roman"/>
        </w:rPr>
        <w:t>1.</w:t>
      </w:r>
      <w:r w:rsidRPr="00D966D8">
        <w:rPr>
          <w:rFonts w:ascii="Times New Roman" w:hAnsi="Times New Roman" w:cs="Times New Roman"/>
        </w:rPr>
        <w:tab/>
        <w:t>El caso presentado consiste primordialmente en calificar a la luz del Convenio la naturaleza de una serie de pagos que se obliga a realizar una empresa residente de Chile respecto de una empresa residente de China. Además, se consulta sobre la aplicación de las normas de relación del Artículo 41E que permiten avaluar los precios de transferencia entre ambas entidades.</w:t>
      </w:r>
    </w:p>
    <w:p w:rsidR="009A6D5E" w:rsidRPr="00D966D8" w:rsidRDefault="009A6D5E" w:rsidP="00D966D8">
      <w:pPr>
        <w:spacing w:after="0" w:line="240" w:lineRule="auto"/>
        <w:ind w:left="284" w:hanging="284"/>
        <w:jc w:val="both"/>
        <w:rPr>
          <w:rFonts w:ascii="Times New Roman" w:hAnsi="Times New Roman" w:cs="Times New Roman"/>
        </w:rPr>
      </w:pPr>
    </w:p>
    <w:p w:rsidR="009A6D5E" w:rsidRPr="00D966D8" w:rsidRDefault="009A6D5E" w:rsidP="00D966D8">
      <w:pPr>
        <w:spacing w:after="0" w:line="240" w:lineRule="auto"/>
        <w:ind w:left="284" w:hanging="284"/>
        <w:jc w:val="both"/>
        <w:rPr>
          <w:rFonts w:ascii="Times New Roman" w:hAnsi="Times New Roman" w:cs="Times New Roman"/>
        </w:rPr>
      </w:pPr>
      <w:r w:rsidRPr="00D966D8">
        <w:rPr>
          <w:rFonts w:ascii="Times New Roman" w:hAnsi="Times New Roman" w:cs="Times New Roman"/>
        </w:rPr>
        <w:t>2.</w:t>
      </w:r>
      <w:r w:rsidRPr="00D966D8">
        <w:rPr>
          <w:rFonts w:ascii="Times New Roman" w:hAnsi="Times New Roman" w:cs="Times New Roman"/>
        </w:rPr>
        <w:tab/>
        <w:t>El primer tipo de pago que se consulta es en virtud de un contrato que las partes denominan “</w:t>
      </w:r>
      <w:r w:rsidRPr="00D966D8">
        <w:rPr>
          <w:rFonts w:ascii="Times New Roman" w:hAnsi="Times New Roman" w:cs="Times New Roman"/>
          <w:i/>
        </w:rPr>
        <w:t>Intelectual Property Licen</w:t>
      </w:r>
      <w:r w:rsidR="00D15918" w:rsidRPr="00D966D8">
        <w:rPr>
          <w:rFonts w:ascii="Times New Roman" w:hAnsi="Times New Roman" w:cs="Times New Roman"/>
          <w:i/>
        </w:rPr>
        <w:t>s</w:t>
      </w:r>
      <w:r w:rsidRPr="00D966D8">
        <w:rPr>
          <w:rFonts w:ascii="Times New Roman" w:hAnsi="Times New Roman" w:cs="Times New Roman"/>
          <w:i/>
        </w:rPr>
        <w:t>e Agreement</w:t>
      </w:r>
      <w:r w:rsidRPr="00D966D8">
        <w:rPr>
          <w:rFonts w:ascii="Times New Roman" w:hAnsi="Times New Roman" w:cs="Times New Roman"/>
        </w:rPr>
        <w:t xml:space="preserve">” (contrato de licencia), y corresponde a la cantidad que la sociedad residente en Chile se obliga a pagar a la sociedad residente en China por el uso, de forma limitada, no exclusiva y no transferible, de una marca de propiedad de esta última. </w:t>
      </w:r>
    </w:p>
    <w:p w:rsidR="009A6D5E" w:rsidRPr="00D966D8" w:rsidRDefault="009A6D5E" w:rsidP="00D966D8">
      <w:pPr>
        <w:spacing w:after="0" w:line="240" w:lineRule="auto"/>
        <w:ind w:left="284" w:hanging="284"/>
        <w:jc w:val="both"/>
        <w:rPr>
          <w:rFonts w:ascii="Times New Roman" w:hAnsi="Times New Roman" w:cs="Times New Roman"/>
        </w:rPr>
      </w:pPr>
    </w:p>
    <w:p w:rsidR="009A6D5E" w:rsidRPr="00D966D8" w:rsidRDefault="009A6D5E" w:rsidP="00D966D8">
      <w:pPr>
        <w:spacing w:after="0" w:line="240" w:lineRule="auto"/>
        <w:ind w:left="284" w:hanging="284"/>
        <w:jc w:val="both"/>
        <w:rPr>
          <w:rFonts w:ascii="Times New Roman" w:hAnsi="Times New Roman" w:cs="Times New Roman"/>
        </w:rPr>
      </w:pPr>
      <w:r w:rsidRPr="00D966D8">
        <w:rPr>
          <w:rFonts w:ascii="Times New Roman" w:hAnsi="Times New Roman" w:cs="Times New Roman"/>
        </w:rPr>
        <w:t>3.</w:t>
      </w:r>
      <w:r w:rsidRPr="00D966D8">
        <w:rPr>
          <w:rFonts w:ascii="Times New Roman" w:hAnsi="Times New Roman" w:cs="Times New Roman"/>
        </w:rPr>
        <w:tab/>
        <w:t>El segundo tipo de pago también se contempla en el contrato mencionado previamente, y consiste en una cantidad que la sociedad residente en Chile se obliga a pagar a la sociedad residente en China por la transferencia de parte de esta última de información relativa a experiencias comerciales, industriales o científicas (</w:t>
      </w:r>
      <w:r w:rsidRPr="00D966D8">
        <w:rPr>
          <w:rFonts w:ascii="Times New Roman" w:hAnsi="Times New Roman" w:cs="Times New Roman"/>
          <w:i/>
        </w:rPr>
        <w:t>know-how</w:t>
      </w:r>
      <w:r w:rsidRPr="00D966D8">
        <w:rPr>
          <w:rFonts w:ascii="Times New Roman" w:hAnsi="Times New Roman" w:cs="Times New Roman"/>
        </w:rPr>
        <w:t>) que es necesario para que la sociedad residente en Chile preste determinados servicios.</w:t>
      </w:r>
    </w:p>
    <w:p w:rsidR="009A6D5E" w:rsidRPr="00D966D8" w:rsidRDefault="009A6D5E" w:rsidP="00D966D8">
      <w:pPr>
        <w:spacing w:after="0" w:line="240" w:lineRule="auto"/>
        <w:ind w:left="284" w:hanging="284"/>
        <w:jc w:val="both"/>
        <w:rPr>
          <w:rFonts w:ascii="Times New Roman" w:hAnsi="Times New Roman" w:cs="Times New Roman"/>
        </w:rPr>
      </w:pPr>
    </w:p>
    <w:p w:rsidR="009A6D5E" w:rsidRPr="00D966D8" w:rsidRDefault="009A6D5E" w:rsidP="00D966D8">
      <w:pPr>
        <w:spacing w:after="0" w:line="240" w:lineRule="auto"/>
        <w:ind w:left="284" w:hanging="284"/>
        <w:jc w:val="both"/>
        <w:rPr>
          <w:rFonts w:ascii="Times New Roman" w:hAnsi="Times New Roman" w:cs="Times New Roman"/>
          <w:b/>
        </w:rPr>
      </w:pPr>
      <w:r w:rsidRPr="00D966D8">
        <w:rPr>
          <w:rFonts w:ascii="Times New Roman" w:hAnsi="Times New Roman" w:cs="Times New Roman"/>
        </w:rPr>
        <w:t>4.</w:t>
      </w:r>
      <w:r w:rsidRPr="00D966D8">
        <w:rPr>
          <w:rFonts w:ascii="Times New Roman" w:hAnsi="Times New Roman" w:cs="Times New Roman"/>
        </w:rPr>
        <w:tab/>
        <w:t>El tercer tipo de pago se produce en virtud de un contrato que las partes denominan “</w:t>
      </w:r>
      <w:r w:rsidRPr="00D966D8">
        <w:rPr>
          <w:rFonts w:ascii="Times New Roman" w:hAnsi="Times New Roman" w:cs="Times New Roman"/>
          <w:i/>
        </w:rPr>
        <w:t>Master Software Distribution Agreement</w:t>
      </w:r>
      <w:r w:rsidRPr="00D966D8">
        <w:rPr>
          <w:rFonts w:ascii="Times New Roman" w:hAnsi="Times New Roman" w:cs="Times New Roman"/>
        </w:rPr>
        <w:t xml:space="preserve">” (contrato de distribución). En virtud de este contrato, la sociedad residente de China, que es la titular de los derechos de propiedad intelectual sobre un programa computacional, cede el uso del derecho de distribución de dicho software a favor de una sociedad residente en Chile, a cambio de que esta última le pague una cantidad determinable en base a la cantidad de distribuciones que se efectúen. Dicha cesión también es limitada, no exclusiva y no transferible. La sociedad residente en China conserva la titularidad de los demás derechos de propiedad intelectual sobre dicho software, de manera que la sociedad residente en Chile no puede vender, reproducir, copiar, crear derivaciones, modificar cualquier parte del software o realizar cualquier acción más allá del mero uso del derecho de distribución </w:t>
      </w:r>
      <w:r w:rsidR="00866FA0" w:rsidRPr="00D966D8">
        <w:rPr>
          <w:rFonts w:ascii="Times New Roman" w:hAnsi="Times New Roman" w:cs="Times New Roman"/>
        </w:rPr>
        <w:t xml:space="preserve">en los términos </w:t>
      </w:r>
      <w:r w:rsidRPr="00D966D8">
        <w:rPr>
          <w:rFonts w:ascii="Times New Roman" w:hAnsi="Times New Roman" w:cs="Times New Roman"/>
        </w:rPr>
        <w:t xml:space="preserve">que le es permitido en el </w:t>
      </w:r>
      <w:r w:rsidR="009A58BE" w:rsidRPr="00D966D8">
        <w:rPr>
          <w:rFonts w:ascii="Times New Roman" w:hAnsi="Times New Roman" w:cs="Times New Roman"/>
        </w:rPr>
        <w:t xml:space="preserve">respectivo </w:t>
      </w:r>
      <w:r w:rsidRPr="00D966D8">
        <w:rPr>
          <w:rFonts w:ascii="Times New Roman" w:hAnsi="Times New Roman" w:cs="Times New Roman"/>
        </w:rPr>
        <w:t>contrato.</w:t>
      </w:r>
      <w:r w:rsidRPr="00D966D8">
        <w:rPr>
          <w:rFonts w:ascii="Times New Roman" w:hAnsi="Times New Roman" w:cs="Times New Roman"/>
          <w:b/>
        </w:rPr>
        <w:t xml:space="preserve"> </w:t>
      </w:r>
    </w:p>
    <w:p w:rsidR="009A6D5E" w:rsidRPr="00D966D8" w:rsidRDefault="009A6D5E" w:rsidP="00D966D8">
      <w:pPr>
        <w:spacing w:after="0" w:line="240" w:lineRule="auto"/>
        <w:ind w:left="284" w:hanging="284"/>
        <w:jc w:val="both"/>
        <w:rPr>
          <w:rFonts w:ascii="Times New Roman" w:hAnsi="Times New Roman" w:cs="Times New Roman"/>
        </w:rPr>
      </w:pPr>
    </w:p>
    <w:p w:rsidR="009A6D5E" w:rsidRPr="00D966D8" w:rsidRDefault="009A6D5E" w:rsidP="00D966D8">
      <w:pPr>
        <w:spacing w:after="0" w:line="240" w:lineRule="auto"/>
        <w:ind w:left="284" w:hanging="284"/>
        <w:jc w:val="both"/>
        <w:rPr>
          <w:rFonts w:ascii="Times New Roman" w:hAnsi="Times New Roman" w:cs="Times New Roman"/>
        </w:rPr>
      </w:pPr>
      <w:r w:rsidRPr="00D966D8">
        <w:rPr>
          <w:rFonts w:ascii="Times New Roman" w:hAnsi="Times New Roman" w:cs="Times New Roman"/>
        </w:rPr>
        <w:t>5.</w:t>
      </w:r>
      <w:r w:rsidRPr="00D966D8">
        <w:rPr>
          <w:rFonts w:ascii="Times New Roman" w:hAnsi="Times New Roman" w:cs="Times New Roman"/>
        </w:rPr>
        <w:tab/>
        <w:t>En la consulta el Director de la DGC solicita la confirmación de los siguientes criterios:</w:t>
      </w:r>
    </w:p>
    <w:p w:rsidR="009A6D5E" w:rsidRPr="00D966D8" w:rsidRDefault="009A6D5E" w:rsidP="00D966D8">
      <w:pPr>
        <w:spacing w:after="0" w:line="240" w:lineRule="auto"/>
        <w:ind w:left="284" w:hanging="284"/>
        <w:jc w:val="both"/>
        <w:rPr>
          <w:rFonts w:ascii="Times New Roman" w:hAnsi="Times New Roman" w:cs="Times New Roman"/>
        </w:rPr>
      </w:pPr>
      <w:r w:rsidRPr="00D966D8">
        <w:rPr>
          <w:rFonts w:ascii="Times New Roman" w:hAnsi="Times New Roman" w:cs="Times New Roman"/>
        </w:rPr>
        <w:tab/>
      </w:r>
    </w:p>
    <w:p w:rsidR="009A6D5E" w:rsidRPr="00D966D8" w:rsidRDefault="009A6D5E" w:rsidP="00D966D8">
      <w:pPr>
        <w:spacing w:after="0" w:line="240" w:lineRule="auto"/>
        <w:ind w:left="284" w:hanging="284"/>
        <w:jc w:val="both"/>
        <w:rPr>
          <w:rFonts w:ascii="Times New Roman" w:hAnsi="Times New Roman" w:cs="Times New Roman"/>
        </w:rPr>
      </w:pPr>
      <w:r w:rsidRPr="00D966D8">
        <w:rPr>
          <w:rFonts w:ascii="Times New Roman" w:hAnsi="Times New Roman" w:cs="Times New Roman"/>
        </w:rPr>
        <w:t xml:space="preserve">- </w:t>
      </w:r>
      <w:r w:rsidR="00D966D8">
        <w:rPr>
          <w:rFonts w:ascii="Times New Roman" w:hAnsi="Times New Roman" w:cs="Times New Roman"/>
        </w:rPr>
        <w:tab/>
      </w:r>
      <w:r w:rsidRPr="00D966D8">
        <w:rPr>
          <w:rFonts w:ascii="Times New Roman" w:hAnsi="Times New Roman" w:cs="Times New Roman"/>
        </w:rPr>
        <w:t>Que los pagos efectuados en virtud del contrato de licencia, por parte de la sociedad residente de Chile a la sociedad residente de China, se encuentran afectos a una tasa de retención de 10%</w:t>
      </w:r>
      <w:r w:rsidR="00D41988" w:rsidRPr="00D966D8">
        <w:rPr>
          <w:rFonts w:ascii="Times New Roman" w:hAnsi="Times New Roman" w:cs="Times New Roman"/>
        </w:rPr>
        <w:t xml:space="preserve"> de Impuesto Adicional</w:t>
      </w:r>
      <w:r w:rsidRPr="00D966D8">
        <w:rPr>
          <w:rFonts w:ascii="Times New Roman" w:hAnsi="Times New Roman" w:cs="Times New Roman"/>
        </w:rPr>
        <w:t>, producto de lo señalado en el Artículo 12 del Convenio;</w:t>
      </w:r>
    </w:p>
    <w:p w:rsidR="009A6D5E" w:rsidRPr="00D966D8" w:rsidRDefault="009A6D5E" w:rsidP="00D966D8">
      <w:pPr>
        <w:spacing w:after="0" w:line="240" w:lineRule="auto"/>
        <w:ind w:left="284" w:hanging="284"/>
        <w:jc w:val="both"/>
        <w:rPr>
          <w:rFonts w:ascii="Times New Roman" w:hAnsi="Times New Roman" w:cs="Times New Roman"/>
        </w:rPr>
      </w:pPr>
    </w:p>
    <w:p w:rsidR="009A6D5E" w:rsidRPr="00D966D8" w:rsidRDefault="009A6D5E" w:rsidP="00D966D8">
      <w:pPr>
        <w:spacing w:after="0" w:line="240" w:lineRule="auto"/>
        <w:ind w:left="284" w:hanging="284"/>
        <w:jc w:val="both"/>
        <w:rPr>
          <w:rFonts w:ascii="Times New Roman" w:hAnsi="Times New Roman" w:cs="Times New Roman"/>
        </w:rPr>
      </w:pPr>
      <w:r w:rsidRPr="00D966D8">
        <w:rPr>
          <w:rFonts w:ascii="Times New Roman" w:hAnsi="Times New Roman" w:cs="Times New Roman"/>
        </w:rPr>
        <w:t>-</w:t>
      </w:r>
      <w:r w:rsidR="00D966D8">
        <w:rPr>
          <w:rFonts w:ascii="Times New Roman" w:hAnsi="Times New Roman" w:cs="Times New Roman"/>
        </w:rPr>
        <w:tab/>
      </w:r>
      <w:r w:rsidRPr="00D966D8">
        <w:rPr>
          <w:rFonts w:ascii="Times New Roman" w:hAnsi="Times New Roman" w:cs="Times New Roman"/>
        </w:rPr>
        <w:t>Que los pagos efectuados en virtud del contrato de distribución, por parte de la sociedad residente en Chile a la sociedad residente de China, se encuentran afectos a una tasa de retención de 10%</w:t>
      </w:r>
      <w:r w:rsidR="00D41988" w:rsidRPr="00D966D8">
        <w:rPr>
          <w:rFonts w:ascii="Times New Roman" w:hAnsi="Times New Roman" w:cs="Times New Roman"/>
        </w:rPr>
        <w:t xml:space="preserve"> de Impuesto Adicional</w:t>
      </w:r>
      <w:r w:rsidRPr="00D966D8">
        <w:rPr>
          <w:rFonts w:ascii="Times New Roman" w:hAnsi="Times New Roman" w:cs="Times New Roman"/>
        </w:rPr>
        <w:t>, producto de lo señalado en el Artículo 12 del Convenio y;</w:t>
      </w:r>
    </w:p>
    <w:p w:rsidR="009A6D5E" w:rsidRPr="00D966D8" w:rsidRDefault="009A6D5E" w:rsidP="00D966D8">
      <w:pPr>
        <w:spacing w:after="0" w:line="240" w:lineRule="auto"/>
        <w:ind w:left="284" w:hanging="284"/>
        <w:jc w:val="both"/>
        <w:rPr>
          <w:rFonts w:ascii="Times New Roman" w:hAnsi="Times New Roman" w:cs="Times New Roman"/>
        </w:rPr>
      </w:pPr>
    </w:p>
    <w:p w:rsidR="009A6D5E" w:rsidRPr="00D966D8" w:rsidRDefault="009A6D5E" w:rsidP="00D966D8">
      <w:pPr>
        <w:spacing w:after="0" w:line="240" w:lineRule="auto"/>
        <w:ind w:left="284" w:hanging="284"/>
        <w:jc w:val="both"/>
        <w:rPr>
          <w:rFonts w:ascii="Times New Roman" w:hAnsi="Times New Roman" w:cs="Times New Roman"/>
        </w:rPr>
      </w:pPr>
      <w:r w:rsidRPr="00D966D8">
        <w:rPr>
          <w:rFonts w:ascii="Times New Roman" w:hAnsi="Times New Roman" w:cs="Times New Roman"/>
        </w:rPr>
        <w:t xml:space="preserve">- </w:t>
      </w:r>
      <w:r w:rsidR="00D966D8">
        <w:rPr>
          <w:rFonts w:ascii="Times New Roman" w:hAnsi="Times New Roman" w:cs="Times New Roman"/>
        </w:rPr>
        <w:tab/>
      </w:r>
      <w:r w:rsidRPr="00D966D8">
        <w:rPr>
          <w:rFonts w:ascii="Times New Roman" w:hAnsi="Times New Roman" w:cs="Times New Roman"/>
        </w:rPr>
        <w:t>Que, considerando que las sociedades del presente cas</w:t>
      </w:r>
      <w:r w:rsidR="009C03C0" w:rsidRPr="00D966D8">
        <w:rPr>
          <w:rFonts w:ascii="Times New Roman" w:hAnsi="Times New Roman" w:cs="Times New Roman"/>
        </w:rPr>
        <w:t>o</w:t>
      </w:r>
      <w:r w:rsidRPr="00D966D8">
        <w:rPr>
          <w:rFonts w:ascii="Times New Roman" w:hAnsi="Times New Roman" w:cs="Times New Roman"/>
        </w:rPr>
        <w:t xml:space="preserve"> se encuentran relacionadas conforme a los criterios del Artículo 41E de la Ley sobre Impuesto a la Renta, este Servicio podría impugnar los precios cobrados entre ellas cuando estos no se ajusten a los valores que por operaciones similares se cobren entre empresas independientes. </w:t>
      </w:r>
    </w:p>
    <w:p w:rsidR="009A6D5E" w:rsidRPr="00D966D8" w:rsidRDefault="009A6D5E" w:rsidP="00D966D8">
      <w:pPr>
        <w:spacing w:after="0" w:line="240" w:lineRule="auto"/>
        <w:ind w:left="284" w:hanging="284"/>
        <w:jc w:val="both"/>
        <w:rPr>
          <w:rFonts w:ascii="Times New Roman" w:hAnsi="Times New Roman" w:cs="Times New Roman"/>
        </w:rPr>
      </w:pPr>
    </w:p>
    <w:p w:rsidR="009A6D5E" w:rsidRPr="00D966D8" w:rsidRDefault="009A6D5E" w:rsidP="00D966D8">
      <w:pPr>
        <w:spacing w:after="0" w:line="240" w:lineRule="auto"/>
        <w:ind w:left="284" w:hanging="284"/>
        <w:jc w:val="both"/>
        <w:rPr>
          <w:rFonts w:ascii="Times New Roman" w:hAnsi="Times New Roman" w:cs="Times New Roman"/>
        </w:rPr>
      </w:pPr>
      <w:r w:rsidRPr="00D966D8">
        <w:rPr>
          <w:rFonts w:ascii="Times New Roman" w:hAnsi="Times New Roman" w:cs="Times New Roman"/>
        </w:rPr>
        <w:t xml:space="preserve">6. </w:t>
      </w:r>
      <w:r w:rsidRPr="00D966D8">
        <w:rPr>
          <w:rFonts w:ascii="Times New Roman" w:hAnsi="Times New Roman" w:cs="Times New Roman"/>
        </w:rPr>
        <w:tab/>
        <w:t>La norma relevante del Convenio y cuyo alcance se consulta es el párrafo 3 del artículo 12, cuyo texto es el siguiente:</w:t>
      </w:r>
    </w:p>
    <w:p w:rsidR="009A6D5E" w:rsidRPr="00D966D8" w:rsidRDefault="009A6D5E" w:rsidP="00D966D8">
      <w:pPr>
        <w:spacing w:after="0" w:line="240" w:lineRule="auto"/>
        <w:ind w:left="284" w:right="616" w:hanging="284"/>
        <w:jc w:val="both"/>
        <w:rPr>
          <w:rFonts w:ascii="Times New Roman" w:hAnsi="Times New Roman" w:cs="Times New Roman"/>
        </w:rPr>
      </w:pPr>
    </w:p>
    <w:p w:rsidR="009A6D5E" w:rsidRPr="00D966D8" w:rsidRDefault="009A6D5E" w:rsidP="00D966D8">
      <w:pPr>
        <w:spacing w:after="0" w:line="240" w:lineRule="auto"/>
        <w:ind w:left="284" w:hanging="284"/>
        <w:jc w:val="both"/>
        <w:rPr>
          <w:rFonts w:ascii="Times New Roman" w:hAnsi="Times New Roman" w:cs="Times New Roman"/>
        </w:rPr>
      </w:pPr>
      <w:r w:rsidRPr="00D966D8">
        <w:rPr>
          <w:rFonts w:ascii="Times New Roman" w:hAnsi="Times New Roman" w:cs="Times New Roman"/>
        </w:rPr>
        <w:t>“</w:t>
      </w:r>
      <w:r w:rsidRPr="00D966D8">
        <w:rPr>
          <w:rFonts w:ascii="Times New Roman" w:hAnsi="Times New Roman" w:cs="Times New Roman"/>
          <w:i/>
        </w:rPr>
        <w:t xml:space="preserve">3.  El término “regalías” empleado en este Artículo significa las </w:t>
      </w:r>
      <w:r w:rsidRPr="00D966D8">
        <w:rPr>
          <w:rFonts w:ascii="Times New Roman" w:hAnsi="Times New Roman" w:cs="Times New Roman"/>
          <w:b/>
          <w:i/>
        </w:rPr>
        <w:t>cantidades de cualquier clase pagadas por el uso, o el derecho al uso, de derechos de autor</w:t>
      </w:r>
      <w:r w:rsidRPr="00D966D8">
        <w:rPr>
          <w:rFonts w:ascii="Times New Roman" w:hAnsi="Times New Roman" w:cs="Times New Roman"/>
          <w:i/>
        </w:rPr>
        <w:t xml:space="preserve"> </w:t>
      </w:r>
      <w:r w:rsidRPr="00D966D8">
        <w:rPr>
          <w:rFonts w:ascii="Times New Roman" w:hAnsi="Times New Roman" w:cs="Times New Roman"/>
          <w:b/>
          <w:i/>
        </w:rPr>
        <w:t>sobre</w:t>
      </w:r>
      <w:r w:rsidRPr="00D966D8">
        <w:rPr>
          <w:rFonts w:ascii="Times New Roman" w:hAnsi="Times New Roman" w:cs="Times New Roman"/>
          <w:i/>
        </w:rPr>
        <w:t xml:space="preserve"> </w:t>
      </w:r>
      <w:r w:rsidRPr="00D966D8">
        <w:rPr>
          <w:rFonts w:ascii="Times New Roman" w:hAnsi="Times New Roman" w:cs="Times New Roman"/>
          <w:b/>
          <w:i/>
        </w:rPr>
        <w:t>obras literarias, artísticas o científicas</w:t>
      </w:r>
      <w:r w:rsidRPr="00D966D8">
        <w:rPr>
          <w:rFonts w:ascii="Times New Roman" w:hAnsi="Times New Roman" w:cs="Times New Roman"/>
          <w:i/>
        </w:rPr>
        <w:t xml:space="preserve">, incluidas las películas cinematográficas o películas y cintas para transmisión por radio o televisión, de cualquier patente, </w:t>
      </w:r>
      <w:r w:rsidRPr="00D966D8">
        <w:rPr>
          <w:rFonts w:ascii="Times New Roman" w:hAnsi="Times New Roman" w:cs="Times New Roman"/>
          <w:b/>
          <w:i/>
        </w:rPr>
        <w:t>marca</w:t>
      </w:r>
      <w:r w:rsidRPr="00D966D8">
        <w:rPr>
          <w:rFonts w:ascii="Times New Roman" w:hAnsi="Times New Roman" w:cs="Times New Roman"/>
          <w:i/>
        </w:rPr>
        <w:t xml:space="preserve">, diseño o modelo, plano, fórmula o procedimiento secretos </w:t>
      </w:r>
      <w:r w:rsidRPr="00D966D8">
        <w:rPr>
          <w:rFonts w:ascii="Times New Roman" w:hAnsi="Times New Roman" w:cs="Times New Roman"/>
          <w:b/>
          <w:i/>
        </w:rPr>
        <w:t>u otra propiedad intangible similar</w:t>
      </w:r>
      <w:r w:rsidRPr="00D966D8">
        <w:rPr>
          <w:rFonts w:ascii="Times New Roman" w:hAnsi="Times New Roman" w:cs="Times New Roman"/>
          <w:i/>
        </w:rPr>
        <w:t xml:space="preserve">, o por el uso o derecho al uso, de equipos industriales, comerciales o científicos, o por </w:t>
      </w:r>
      <w:r w:rsidRPr="00D966D8">
        <w:rPr>
          <w:rFonts w:ascii="Times New Roman" w:hAnsi="Times New Roman" w:cs="Times New Roman"/>
          <w:b/>
          <w:i/>
        </w:rPr>
        <w:t>informaciones relativas a experiencias industriales, comerciales o científicas</w:t>
      </w:r>
      <w:r w:rsidRPr="00D966D8">
        <w:rPr>
          <w:rFonts w:ascii="Times New Roman" w:hAnsi="Times New Roman" w:cs="Times New Roman"/>
          <w:i/>
        </w:rPr>
        <w:t>.</w:t>
      </w:r>
      <w:r w:rsidRPr="00D966D8">
        <w:rPr>
          <w:rFonts w:ascii="Times New Roman" w:hAnsi="Times New Roman" w:cs="Times New Roman"/>
        </w:rPr>
        <w:t>” (énfasis agregado).</w:t>
      </w:r>
    </w:p>
    <w:p w:rsidR="009A6D5E" w:rsidRPr="00D966D8" w:rsidRDefault="009A6D5E" w:rsidP="00D966D8">
      <w:pPr>
        <w:spacing w:after="0" w:line="240" w:lineRule="auto"/>
        <w:ind w:left="284" w:hanging="284"/>
        <w:jc w:val="both"/>
        <w:rPr>
          <w:rFonts w:ascii="Times New Roman" w:hAnsi="Times New Roman" w:cs="Times New Roman"/>
        </w:rPr>
      </w:pPr>
    </w:p>
    <w:p w:rsidR="009A6D5E" w:rsidRPr="00D966D8" w:rsidRDefault="009A6D5E" w:rsidP="00D966D8">
      <w:pPr>
        <w:spacing w:after="0" w:line="240" w:lineRule="auto"/>
        <w:ind w:left="284" w:hanging="284"/>
        <w:jc w:val="both"/>
        <w:rPr>
          <w:rFonts w:ascii="Times New Roman" w:hAnsi="Times New Roman" w:cs="Times New Roman"/>
        </w:rPr>
      </w:pPr>
      <w:r w:rsidRPr="00D966D8">
        <w:rPr>
          <w:rFonts w:ascii="Times New Roman" w:hAnsi="Times New Roman" w:cs="Times New Roman"/>
        </w:rPr>
        <w:t>7.</w:t>
      </w:r>
      <w:r w:rsidRPr="00D966D8">
        <w:rPr>
          <w:rFonts w:ascii="Times New Roman" w:hAnsi="Times New Roman" w:cs="Times New Roman"/>
        </w:rPr>
        <w:tab/>
      </w:r>
      <w:r w:rsidR="009520F3" w:rsidRPr="00D966D8">
        <w:rPr>
          <w:rFonts w:ascii="Times New Roman" w:hAnsi="Times New Roman" w:cs="Times New Roman"/>
        </w:rPr>
        <w:t>G</w:t>
      </w:r>
      <w:r w:rsidRPr="00D966D8">
        <w:rPr>
          <w:rFonts w:ascii="Times New Roman" w:hAnsi="Times New Roman" w:cs="Times New Roman"/>
        </w:rPr>
        <w:t>ran parte de las dudas planteadas por el contribuyente ya se encuentran resueltas por los Oficios N° 2.494 de 2016, N° 2.887 de 2012, N° 1.836 de 2016, N° 606 de 2015, N° 605 de 2015, N° 3.397 de 2007, N° 1.479 de 2008, N° 201 de 2012, N° 1815 de 2015, entre otros. Respecto de algunos aspectos específicos de interpretación que no se encuentran tratados en los Oficios mencionados, la presente respuesta los tratará con mayor detalle en el N° 3 del “Análisis”.</w:t>
      </w:r>
    </w:p>
    <w:p w:rsidR="009A6D5E" w:rsidRPr="00D966D8" w:rsidRDefault="009A6D5E" w:rsidP="00D966D8">
      <w:pPr>
        <w:spacing w:after="0" w:line="240" w:lineRule="auto"/>
        <w:ind w:left="284" w:hanging="284"/>
        <w:jc w:val="both"/>
        <w:rPr>
          <w:rFonts w:ascii="Times New Roman" w:hAnsi="Times New Roman" w:cs="Times New Roman"/>
        </w:rPr>
      </w:pPr>
    </w:p>
    <w:p w:rsidR="00566DCB" w:rsidRPr="00D966D8" w:rsidRDefault="00566DCB" w:rsidP="00D966D8">
      <w:pPr>
        <w:spacing w:after="0" w:line="240" w:lineRule="auto"/>
        <w:ind w:left="284" w:hanging="284"/>
        <w:jc w:val="both"/>
        <w:rPr>
          <w:rFonts w:ascii="Times New Roman" w:hAnsi="Times New Roman" w:cs="Times New Roman"/>
        </w:rPr>
      </w:pPr>
    </w:p>
    <w:p w:rsidR="009A6D5E" w:rsidRPr="00D966D8" w:rsidRDefault="009A6D5E" w:rsidP="00D966D8">
      <w:pPr>
        <w:tabs>
          <w:tab w:val="left" w:pos="567"/>
        </w:tabs>
        <w:spacing w:after="0" w:line="240" w:lineRule="auto"/>
        <w:ind w:left="284" w:hanging="284"/>
        <w:jc w:val="both"/>
        <w:rPr>
          <w:rFonts w:ascii="Times New Roman" w:hAnsi="Times New Roman" w:cs="Times New Roman"/>
          <w:b/>
        </w:rPr>
      </w:pPr>
      <w:r w:rsidRPr="00D966D8">
        <w:rPr>
          <w:rFonts w:ascii="Times New Roman" w:hAnsi="Times New Roman" w:cs="Times New Roman"/>
          <w:b/>
        </w:rPr>
        <w:t>II.</w:t>
      </w:r>
      <w:r w:rsidRPr="00D966D8">
        <w:rPr>
          <w:rFonts w:ascii="Times New Roman" w:hAnsi="Times New Roman" w:cs="Times New Roman"/>
          <w:b/>
        </w:rPr>
        <w:tab/>
        <w:t>ANÁLISIS.</w:t>
      </w:r>
    </w:p>
    <w:p w:rsidR="009A6D5E" w:rsidRPr="00D966D8" w:rsidRDefault="009A6D5E" w:rsidP="00D966D8">
      <w:pPr>
        <w:tabs>
          <w:tab w:val="left" w:pos="567"/>
        </w:tabs>
        <w:spacing w:after="0" w:line="240" w:lineRule="auto"/>
        <w:ind w:left="284" w:hanging="284"/>
        <w:jc w:val="both"/>
        <w:rPr>
          <w:rFonts w:ascii="Times New Roman" w:hAnsi="Times New Roman" w:cs="Times New Roman"/>
          <w:b/>
        </w:rPr>
      </w:pPr>
    </w:p>
    <w:p w:rsidR="009A6D5E" w:rsidRPr="00D966D8" w:rsidRDefault="009A6D5E" w:rsidP="00D966D8">
      <w:pPr>
        <w:spacing w:after="0" w:line="240" w:lineRule="auto"/>
        <w:ind w:left="284" w:hanging="284"/>
        <w:jc w:val="both"/>
        <w:rPr>
          <w:rFonts w:ascii="Times New Roman" w:hAnsi="Times New Roman" w:cs="Times New Roman"/>
          <w:b/>
        </w:rPr>
      </w:pPr>
      <w:r w:rsidRPr="00D966D8">
        <w:rPr>
          <w:rFonts w:ascii="Times New Roman" w:hAnsi="Times New Roman" w:cs="Times New Roman"/>
          <w:b/>
        </w:rPr>
        <w:t>1.</w:t>
      </w:r>
      <w:r w:rsidRPr="00D966D8">
        <w:rPr>
          <w:rFonts w:ascii="Times New Roman" w:hAnsi="Times New Roman" w:cs="Times New Roman"/>
          <w:b/>
        </w:rPr>
        <w:tab/>
        <w:t>En relación a los pagos por el uso de una “marca”</w:t>
      </w:r>
      <w:r w:rsidRPr="00D966D8">
        <w:rPr>
          <w:rFonts w:ascii="Times New Roman" w:hAnsi="Times New Roman" w:cs="Times New Roman"/>
        </w:rPr>
        <w:t>, estos se encuentran expresamente mencionadas en el Artículo 12(3) citado previamente, por lo tanto, se confirma el criterio planteado por el Director de la DGC, en los términos que se detallan en las conclusiones de esta respuesta.</w:t>
      </w:r>
    </w:p>
    <w:p w:rsidR="009A6D5E" w:rsidRPr="00D966D8" w:rsidRDefault="009A6D5E" w:rsidP="00D966D8">
      <w:pPr>
        <w:spacing w:after="0" w:line="240" w:lineRule="auto"/>
        <w:ind w:left="284" w:hanging="284"/>
        <w:jc w:val="both"/>
        <w:rPr>
          <w:rFonts w:ascii="Times New Roman" w:hAnsi="Times New Roman" w:cs="Times New Roman"/>
          <w:b/>
        </w:rPr>
      </w:pPr>
    </w:p>
    <w:p w:rsidR="009A6D5E" w:rsidRPr="00D966D8" w:rsidRDefault="009A6D5E" w:rsidP="00D966D8">
      <w:pPr>
        <w:spacing w:after="0" w:line="240" w:lineRule="auto"/>
        <w:ind w:left="284" w:hanging="284"/>
        <w:jc w:val="both"/>
        <w:rPr>
          <w:rFonts w:ascii="Times New Roman" w:hAnsi="Times New Roman" w:cs="Times New Roman"/>
        </w:rPr>
      </w:pPr>
      <w:r w:rsidRPr="00D966D8">
        <w:rPr>
          <w:rFonts w:ascii="Times New Roman" w:hAnsi="Times New Roman" w:cs="Times New Roman"/>
          <w:b/>
        </w:rPr>
        <w:t>2.</w:t>
      </w:r>
      <w:r w:rsidRPr="00D966D8">
        <w:rPr>
          <w:rFonts w:ascii="Times New Roman" w:hAnsi="Times New Roman" w:cs="Times New Roman"/>
          <w:b/>
        </w:rPr>
        <w:tab/>
        <w:t>En relación a los pagos por la transferencia de “know-how”,</w:t>
      </w:r>
      <w:r w:rsidRPr="00D966D8">
        <w:rPr>
          <w:rFonts w:ascii="Times New Roman" w:hAnsi="Times New Roman" w:cs="Times New Roman"/>
        </w:rPr>
        <w:t xml:space="preserve"> estos también se encuentran expresamente contemplados en el Artículo 12(3), específicamente en la frase “(…) </w:t>
      </w:r>
      <w:r w:rsidRPr="00D966D8">
        <w:rPr>
          <w:rFonts w:ascii="Times New Roman" w:hAnsi="Times New Roman" w:cs="Times New Roman"/>
          <w:i/>
        </w:rPr>
        <w:t>informaciones relativas a experiencias industriales, comerciales o científicas</w:t>
      </w:r>
      <w:r w:rsidRPr="00D966D8">
        <w:rPr>
          <w:rFonts w:ascii="Times New Roman" w:hAnsi="Times New Roman" w:cs="Times New Roman"/>
        </w:rPr>
        <w:t>”, por lo que se confirma el planteamiento del Director de la DGC, en los términos que se indican en las conclusiones de esta respuesta.</w:t>
      </w:r>
    </w:p>
    <w:p w:rsidR="009A6D5E" w:rsidRPr="00D966D8" w:rsidRDefault="009A6D5E" w:rsidP="00D966D8">
      <w:pPr>
        <w:spacing w:after="0" w:line="240" w:lineRule="auto"/>
        <w:ind w:left="284" w:hanging="284"/>
        <w:jc w:val="both"/>
        <w:rPr>
          <w:rFonts w:ascii="Times New Roman" w:hAnsi="Times New Roman" w:cs="Times New Roman"/>
        </w:rPr>
      </w:pPr>
    </w:p>
    <w:p w:rsidR="009A6D5E" w:rsidRPr="00D966D8" w:rsidRDefault="009A6D5E" w:rsidP="00D966D8">
      <w:pPr>
        <w:spacing w:after="0" w:line="240" w:lineRule="auto"/>
        <w:ind w:left="284" w:hanging="284"/>
        <w:jc w:val="both"/>
        <w:rPr>
          <w:rFonts w:ascii="Times New Roman" w:hAnsi="Times New Roman" w:cs="Times New Roman"/>
          <w:b/>
        </w:rPr>
      </w:pPr>
      <w:r w:rsidRPr="00D966D8">
        <w:rPr>
          <w:rFonts w:ascii="Times New Roman" w:hAnsi="Times New Roman" w:cs="Times New Roman"/>
          <w:b/>
        </w:rPr>
        <w:t>3.</w:t>
      </w:r>
      <w:r w:rsidRPr="00D966D8">
        <w:rPr>
          <w:rFonts w:ascii="Times New Roman" w:hAnsi="Times New Roman" w:cs="Times New Roman"/>
          <w:b/>
        </w:rPr>
        <w:tab/>
        <w:t>Respecto de los pagos por el uso del derecho de distribuir un programa computacional:</w:t>
      </w:r>
    </w:p>
    <w:p w:rsidR="009A6D5E" w:rsidRPr="00D966D8" w:rsidRDefault="009A6D5E" w:rsidP="00D966D8">
      <w:pPr>
        <w:pStyle w:val="Prrafodelista"/>
        <w:spacing w:after="0" w:line="240" w:lineRule="auto"/>
        <w:ind w:left="284" w:hanging="284"/>
        <w:jc w:val="both"/>
        <w:rPr>
          <w:rFonts w:ascii="Times New Roman" w:hAnsi="Times New Roman" w:cs="Times New Roman"/>
        </w:rPr>
      </w:pPr>
    </w:p>
    <w:p w:rsidR="009A6D5E" w:rsidRPr="00D966D8" w:rsidRDefault="009A6D5E" w:rsidP="00D966D8">
      <w:pPr>
        <w:pStyle w:val="Prrafodelista"/>
        <w:spacing w:after="0" w:line="240" w:lineRule="auto"/>
        <w:ind w:left="567" w:hanging="425"/>
        <w:jc w:val="both"/>
        <w:rPr>
          <w:rFonts w:ascii="Times New Roman" w:hAnsi="Times New Roman" w:cs="Times New Roman"/>
        </w:rPr>
      </w:pPr>
      <w:r w:rsidRPr="00D966D8">
        <w:rPr>
          <w:rFonts w:ascii="Times New Roman" w:hAnsi="Times New Roman" w:cs="Times New Roman"/>
        </w:rPr>
        <w:t>3.1.</w:t>
      </w:r>
      <w:r w:rsidRPr="00D966D8">
        <w:rPr>
          <w:rFonts w:ascii="Times New Roman" w:hAnsi="Times New Roman" w:cs="Times New Roman"/>
        </w:rPr>
        <w:tab/>
        <w:t xml:space="preserve">Tal como señala en su consulta el Director de la DGC, lo interpretado en el Oficio N° 2.494 de 2016, en lo referido al ámbito de aplicación del Artículo 12 del Convenio Tributario con España, resulta plenamente aplicable al caso consultado respecto del convenio tributario con China. </w:t>
      </w:r>
    </w:p>
    <w:p w:rsidR="009A6D5E" w:rsidRPr="00D966D8" w:rsidRDefault="009A6D5E" w:rsidP="00D966D8">
      <w:pPr>
        <w:pStyle w:val="Prrafodelista"/>
        <w:spacing w:after="0" w:line="240" w:lineRule="auto"/>
        <w:ind w:left="567" w:hanging="425"/>
        <w:jc w:val="both"/>
        <w:rPr>
          <w:rFonts w:ascii="Times New Roman" w:hAnsi="Times New Roman" w:cs="Times New Roman"/>
        </w:rPr>
      </w:pPr>
    </w:p>
    <w:p w:rsidR="00F9465F" w:rsidRPr="00D966D8" w:rsidRDefault="009A6D5E" w:rsidP="00D966D8">
      <w:pPr>
        <w:pStyle w:val="Prrafodelista"/>
        <w:spacing w:after="0" w:line="240" w:lineRule="auto"/>
        <w:ind w:left="567" w:hanging="425"/>
        <w:jc w:val="both"/>
        <w:rPr>
          <w:rFonts w:ascii="Times New Roman" w:eastAsia="Times New Roman" w:hAnsi="Times New Roman" w:cs="Times New Roman"/>
        </w:rPr>
      </w:pPr>
      <w:r w:rsidRPr="00D966D8">
        <w:rPr>
          <w:rFonts w:ascii="Times New Roman" w:hAnsi="Times New Roman" w:cs="Times New Roman"/>
        </w:rPr>
        <w:t>3.2.</w:t>
      </w:r>
      <w:r w:rsidRPr="00D966D8">
        <w:rPr>
          <w:rFonts w:ascii="Times New Roman" w:hAnsi="Times New Roman" w:cs="Times New Roman"/>
        </w:rPr>
        <w:tab/>
      </w:r>
      <w:r w:rsidR="00F9465F" w:rsidRPr="00D966D8">
        <w:rPr>
          <w:rFonts w:ascii="Times New Roman" w:eastAsia="Times New Roman" w:hAnsi="Times New Roman" w:cs="Times New Roman"/>
        </w:rPr>
        <w:t>En primer lugar, cabe aclarar que el “comentario” referido al Artículo 12 del Modelo OCDE que invoca el contribuyente en su presentación, no resulta aplicable al caso de Chile. Dicho comentario se formula bajo el supuesto de que el país que aplica el convenio no contempla expresamente dentro de su legislación sobre derechos de autor (</w:t>
      </w:r>
      <w:r w:rsidR="00F9465F" w:rsidRPr="00D966D8">
        <w:rPr>
          <w:rFonts w:ascii="Times New Roman" w:eastAsia="Times New Roman" w:hAnsi="Times New Roman" w:cs="Times New Roman"/>
          <w:i/>
        </w:rPr>
        <w:t>copyright</w:t>
      </w:r>
      <w:r w:rsidR="00F9465F" w:rsidRPr="00D966D8">
        <w:rPr>
          <w:rFonts w:ascii="Times New Roman" w:eastAsia="Times New Roman" w:hAnsi="Times New Roman" w:cs="Times New Roman"/>
        </w:rPr>
        <w:t>) el “derecho de distribuir” una obra protegida, lo cual se con</w:t>
      </w:r>
      <w:r w:rsidR="00EC01BF" w:rsidRPr="00D966D8">
        <w:rPr>
          <w:rFonts w:ascii="Times New Roman" w:eastAsia="Times New Roman" w:hAnsi="Times New Roman" w:cs="Times New Roman"/>
        </w:rPr>
        <w:t>firma en</w:t>
      </w:r>
      <w:r w:rsidR="00F9465F" w:rsidRPr="00D966D8">
        <w:rPr>
          <w:rFonts w:ascii="Times New Roman" w:eastAsia="Times New Roman" w:hAnsi="Times New Roman" w:cs="Times New Roman"/>
        </w:rPr>
        <w:t xml:space="preserve"> la tercera frase del párrafo 14.4 de dichos comentarios</w:t>
      </w:r>
      <w:r w:rsidR="00F9465F" w:rsidRPr="00D966D8">
        <w:rPr>
          <w:rStyle w:val="Refdenotaalpie"/>
          <w:rFonts w:ascii="Times New Roman" w:hAnsi="Times New Roman" w:cs="Times New Roman"/>
        </w:rPr>
        <w:footnoteReference w:id="1"/>
      </w:r>
      <w:r w:rsidR="00F9465F" w:rsidRPr="00D966D8">
        <w:rPr>
          <w:rFonts w:ascii="Times New Roman" w:hAnsi="Times New Roman" w:cs="Times New Roman"/>
        </w:rPr>
        <w:t xml:space="preserve">. </w:t>
      </w:r>
      <w:r w:rsidR="00F9465F" w:rsidRPr="00D966D8">
        <w:rPr>
          <w:rFonts w:ascii="Times New Roman" w:eastAsia="Times New Roman" w:hAnsi="Times New Roman" w:cs="Times New Roman"/>
        </w:rPr>
        <w:t xml:space="preserve">En otras palabras, en el caso en que la legislación sobre </w:t>
      </w:r>
      <w:r w:rsidR="00F9465F" w:rsidRPr="00D966D8">
        <w:rPr>
          <w:rFonts w:ascii="Times New Roman" w:eastAsia="Times New Roman" w:hAnsi="Times New Roman" w:cs="Times New Roman"/>
          <w:i/>
        </w:rPr>
        <w:t xml:space="preserve">copyright </w:t>
      </w:r>
      <w:r w:rsidR="00F9465F" w:rsidRPr="00D966D8">
        <w:rPr>
          <w:rFonts w:ascii="Times New Roman" w:eastAsia="Times New Roman" w:hAnsi="Times New Roman" w:cs="Times New Roman"/>
        </w:rPr>
        <w:t>de un país no proteja el derecho de distribución</w:t>
      </w:r>
      <w:r w:rsidR="00A97F36" w:rsidRPr="00D966D8">
        <w:rPr>
          <w:rFonts w:ascii="Times New Roman" w:eastAsia="Times New Roman" w:hAnsi="Times New Roman" w:cs="Times New Roman"/>
        </w:rPr>
        <w:t>,</w:t>
      </w:r>
      <w:r w:rsidR="00F9465F" w:rsidRPr="00D966D8">
        <w:rPr>
          <w:rFonts w:ascii="Times New Roman" w:eastAsia="Times New Roman" w:hAnsi="Times New Roman" w:cs="Times New Roman"/>
        </w:rPr>
        <w:t xml:space="preserve"> ni los Estados Contratantes hayan extendido el ámbito de aplicación del artículo sobre regalías (como en los convenios de Chile), el referido comentario de la OCDE podrá ser relevante para orientar al interprete en la determinación de si existe una regalía o no</w:t>
      </w:r>
      <w:r w:rsidR="00EC01BF" w:rsidRPr="00D966D8">
        <w:rPr>
          <w:rFonts w:ascii="Times New Roman" w:eastAsia="Times New Roman" w:hAnsi="Times New Roman" w:cs="Times New Roman"/>
        </w:rPr>
        <w:t xml:space="preserve"> en un convenio determinado</w:t>
      </w:r>
      <w:r w:rsidR="00F9465F" w:rsidRPr="00D966D8">
        <w:rPr>
          <w:rFonts w:ascii="Times New Roman" w:eastAsia="Times New Roman" w:hAnsi="Times New Roman" w:cs="Times New Roman"/>
        </w:rPr>
        <w:t xml:space="preserve">. Sin embargo, en la situación de Chile, el Artículo 18 letra e) de la Ley N° 17.336 expresamente contempla el derecho de distribuir una obra protegida dentro del abanico de derechos de propiedad intelectual sobre </w:t>
      </w:r>
      <w:r w:rsidR="007620AC" w:rsidRPr="00D966D8">
        <w:rPr>
          <w:rFonts w:ascii="Times New Roman" w:eastAsia="Times New Roman" w:hAnsi="Times New Roman" w:cs="Times New Roman"/>
        </w:rPr>
        <w:t>una</w:t>
      </w:r>
      <w:r w:rsidR="00F9465F" w:rsidRPr="00D966D8">
        <w:rPr>
          <w:rFonts w:ascii="Times New Roman" w:eastAsia="Times New Roman" w:hAnsi="Times New Roman" w:cs="Times New Roman"/>
        </w:rPr>
        <w:t xml:space="preserve"> obra</w:t>
      </w:r>
      <w:r w:rsidR="007620AC" w:rsidRPr="00D966D8">
        <w:rPr>
          <w:rFonts w:ascii="Times New Roman" w:eastAsia="Times New Roman" w:hAnsi="Times New Roman" w:cs="Times New Roman"/>
        </w:rPr>
        <w:t xml:space="preserve"> protegida </w:t>
      </w:r>
      <w:r w:rsidR="0052452E" w:rsidRPr="00D966D8">
        <w:rPr>
          <w:rFonts w:ascii="Times New Roman" w:eastAsia="Times New Roman" w:hAnsi="Times New Roman" w:cs="Times New Roman"/>
        </w:rPr>
        <w:t>como son los</w:t>
      </w:r>
      <w:r w:rsidR="00F9465F" w:rsidRPr="00D966D8">
        <w:rPr>
          <w:rFonts w:ascii="Times New Roman" w:eastAsia="Times New Roman" w:hAnsi="Times New Roman" w:cs="Times New Roman"/>
        </w:rPr>
        <w:t xml:space="preserve"> programas computacionales. </w:t>
      </w:r>
    </w:p>
    <w:p w:rsidR="009A6D5E" w:rsidRPr="00D966D8" w:rsidRDefault="009A6D5E" w:rsidP="00D966D8">
      <w:pPr>
        <w:pStyle w:val="Prrafodelista"/>
        <w:spacing w:after="0" w:line="240" w:lineRule="auto"/>
        <w:ind w:left="567" w:hanging="425"/>
        <w:jc w:val="both"/>
        <w:rPr>
          <w:rFonts w:ascii="Times New Roman" w:hAnsi="Times New Roman" w:cs="Times New Roman"/>
        </w:rPr>
      </w:pPr>
    </w:p>
    <w:p w:rsidR="009A6D5E" w:rsidRPr="00D966D8" w:rsidRDefault="009A6D5E" w:rsidP="00D966D8">
      <w:pPr>
        <w:pStyle w:val="Prrafodelista"/>
        <w:spacing w:after="0" w:line="240" w:lineRule="auto"/>
        <w:ind w:left="567" w:hanging="425"/>
        <w:rPr>
          <w:rFonts w:ascii="Times New Roman" w:hAnsi="Times New Roman" w:cs="Times New Roman"/>
        </w:rPr>
      </w:pPr>
    </w:p>
    <w:p w:rsidR="009A6D5E" w:rsidRPr="00D966D8" w:rsidRDefault="009A6D5E" w:rsidP="00D966D8">
      <w:pPr>
        <w:pStyle w:val="Prrafodelista"/>
        <w:spacing w:after="0" w:line="240" w:lineRule="auto"/>
        <w:ind w:left="567" w:hanging="425"/>
        <w:jc w:val="both"/>
        <w:rPr>
          <w:rFonts w:ascii="Times New Roman" w:hAnsi="Times New Roman" w:cs="Times New Roman"/>
        </w:rPr>
      </w:pPr>
      <w:r w:rsidRPr="00D966D8">
        <w:rPr>
          <w:rFonts w:ascii="Times New Roman" w:hAnsi="Times New Roman" w:cs="Times New Roman"/>
        </w:rPr>
        <w:t>3.3.</w:t>
      </w:r>
      <w:r w:rsidRPr="00D966D8">
        <w:rPr>
          <w:rFonts w:ascii="Times New Roman" w:hAnsi="Times New Roman" w:cs="Times New Roman"/>
        </w:rPr>
        <w:tab/>
        <w:t>Además de lo anterior, la expresión “</w:t>
      </w:r>
      <w:r w:rsidRPr="00D966D8">
        <w:rPr>
          <w:rFonts w:ascii="Times New Roman" w:hAnsi="Times New Roman" w:cs="Times New Roman"/>
          <w:i/>
          <w:u w:val="single"/>
        </w:rPr>
        <w:t>cantidades de cualquier clase pagadas por el uso, o el derecho al uso, de</w:t>
      </w:r>
      <w:r w:rsidRPr="00D966D8">
        <w:rPr>
          <w:rFonts w:ascii="Times New Roman" w:hAnsi="Times New Roman" w:cs="Times New Roman"/>
          <w:i/>
        </w:rPr>
        <w:t xml:space="preserve"> derechos de autor sobre obras literarias, artísticas o científicas</w:t>
      </w:r>
      <w:r w:rsidRPr="00D966D8">
        <w:rPr>
          <w:rFonts w:ascii="Times New Roman" w:hAnsi="Times New Roman" w:cs="Times New Roman"/>
        </w:rPr>
        <w:t xml:space="preserve"> (…) </w:t>
      </w:r>
      <w:r w:rsidRPr="00D966D8">
        <w:rPr>
          <w:rFonts w:ascii="Times New Roman" w:hAnsi="Times New Roman" w:cs="Times New Roman"/>
          <w:i/>
        </w:rPr>
        <w:t xml:space="preserve">u </w:t>
      </w:r>
      <w:r w:rsidRPr="00D966D8">
        <w:rPr>
          <w:rFonts w:ascii="Times New Roman" w:hAnsi="Times New Roman" w:cs="Times New Roman"/>
          <w:i/>
          <w:u w:val="single"/>
        </w:rPr>
        <w:t>otra propiedad intangible similar</w:t>
      </w:r>
      <w:r w:rsidRPr="00D966D8">
        <w:rPr>
          <w:rFonts w:ascii="Times New Roman" w:hAnsi="Times New Roman" w:cs="Times New Roman"/>
        </w:rPr>
        <w:t xml:space="preserve"> (…)” </w:t>
      </w:r>
      <w:r w:rsidR="00C33E1D" w:rsidRPr="00D966D8">
        <w:rPr>
          <w:rFonts w:ascii="Times New Roman" w:hAnsi="Times New Roman" w:cs="Times New Roman"/>
        </w:rPr>
        <w:t xml:space="preserve">(énfasis agregado) </w:t>
      </w:r>
      <w:r w:rsidRPr="00D966D8">
        <w:rPr>
          <w:rFonts w:ascii="Times New Roman" w:hAnsi="Times New Roman" w:cs="Times New Roman"/>
        </w:rPr>
        <w:t>contenida en el Artículo 12(3) del Convenio con China, fue redactada intencionalmente por los Estados Contratantes de una manera más amplia que la norma del Modelo OCDE precisamente con la finalidad de extender el ámbito de aplicación del Artículo sobre regalías en el Convenio.</w:t>
      </w:r>
    </w:p>
    <w:p w:rsidR="009A6D5E" w:rsidRPr="00D966D8" w:rsidRDefault="009A6D5E" w:rsidP="00D966D8">
      <w:pPr>
        <w:pStyle w:val="Prrafodelista"/>
        <w:spacing w:after="0" w:line="240" w:lineRule="auto"/>
        <w:ind w:left="567" w:hanging="425"/>
        <w:jc w:val="both"/>
        <w:rPr>
          <w:rFonts w:ascii="Times New Roman" w:hAnsi="Times New Roman" w:cs="Times New Roman"/>
        </w:rPr>
      </w:pPr>
    </w:p>
    <w:p w:rsidR="009A6D5E" w:rsidRPr="00D966D8" w:rsidRDefault="009A6D5E" w:rsidP="00D966D8">
      <w:pPr>
        <w:pStyle w:val="Prrafodelista"/>
        <w:spacing w:after="0" w:line="240" w:lineRule="auto"/>
        <w:ind w:left="567" w:hanging="425"/>
        <w:jc w:val="both"/>
        <w:rPr>
          <w:rFonts w:ascii="Times New Roman" w:hAnsi="Times New Roman" w:cs="Times New Roman"/>
        </w:rPr>
      </w:pPr>
      <w:r w:rsidRPr="00D966D8">
        <w:rPr>
          <w:rFonts w:ascii="Times New Roman" w:hAnsi="Times New Roman" w:cs="Times New Roman"/>
        </w:rPr>
        <w:t xml:space="preserve">3.4. </w:t>
      </w:r>
      <w:r w:rsidRPr="00D966D8">
        <w:rPr>
          <w:rFonts w:ascii="Times New Roman" w:hAnsi="Times New Roman" w:cs="Times New Roman"/>
        </w:rPr>
        <w:tab/>
        <w:t>Respecto de la palabra “similar” que se ha agregado a la expresión “otra propiedad intangible” en la norma citada, en ningún caso esta palabra implica una limitación al ámbito de aplicación del Artículo 12</w:t>
      </w:r>
      <w:r w:rsidR="00EA330C" w:rsidRPr="00D966D8">
        <w:rPr>
          <w:rFonts w:ascii="Times New Roman" w:hAnsi="Times New Roman" w:cs="Times New Roman"/>
        </w:rPr>
        <w:t xml:space="preserve"> del Convenio con China en comparación con el convenio suscritos por Chile con España</w:t>
      </w:r>
      <w:r w:rsidRPr="00D966D8">
        <w:rPr>
          <w:rFonts w:ascii="Times New Roman" w:hAnsi="Times New Roman" w:cs="Times New Roman"/>
        </w:rPr>
        <w:t xml:space="preserve">. Por el contrario, la palabra “similar” es </w:t>
      </w:r>
      <w:r w:rsidR="00C644F7" w:rsidRPr="00D966D8">
        <w:rPr>
          <w:rFonts w:ascii="Times New Roman" w:hAnsi="Times New Roman" w:cs="Times New Roman"/>
        </w:rPr>
        <w:t xml:space="preserve">solo </w:t>
      </w:r>
      <w:r w:rsidRPr="00D966D8">
        <w:rPr>
          <w:rFonts w:ascii="Times New Roman" w:hAnsi="Times New Roman" w:cs="Times New Roman"/>
        </w:rPr>
        <w:t>una guía adicional para que el intérprete extienda el concepto de regalía a todas las cantidades que se paguen por el uso, o el derecho al uso, de intangibles que compartan una o más características en común con aquellos intangibles expresamente mencionados en la misma norma. En virtud de lo anterior, debe entenderse que el Artículo 12(3) incluye los pagos por el uso o derecho de uso de cualquier bien intangible o inmaterial que en virtud del intelecto humano sea susceptible de apreciación pecuniaria y cuyo uso se puede ceder a cambio de una cantidad que las partes convengan, cualquiera que sea su forma de cálculo o periodicidad. Ejemplos de intangibles “similares” han sido mencionados ya en el Oficio 2.494 de 2016: derechos de obtentores de nuevas variedades vegetales, derechos de imagen, nombres u otros atributos de la personalidad y el derecho a beneficiarse de la clientela y la ubicación de un establecimiento comercial (“derecho de llaves”).</w:t>
      </w:r>
    </w:p>
    <w:p w:rsidR="009A6D5E" w:rsidRPr="00D966D8" w:rsidRDefault="009A6D5E" w:rsidP="00D966D8">
      <w:pPr>
        <w:pStyle w:val="Prrafodelista"/>
        <w:spacing w:after="0" w:line="240" w:lineRule="auto"/>
        <w:ind w:left="567" w:hanging="425"/>
        <w:rPr>
          <w:rFonts w:ascii="Times New Roman" w:hAnsi="Times New Roman" w:cs="Times New Roman"/>
        </w:rPr>
      </w:pPr>
    </w:p>
    <w:p w:rsidR="009A6D5E" w:rsidRPr="00D966D8" w:rsidRDefault="009A6D5E" w:rsidP="00D966D8">
      <w:pPr>
        <w:pStyle w:val="Prrafodelista"/>
        <w:spacing w:after="0" w:line="240" w:lineRule="auto"/>
        <w:ind w:left="567" w:hanging="425"/>
        <w:jc w:val="both"/>
        <w:rPr>
          <w:rFonts w:ascii="Times New Roman" w:hAnsi="Times New Roman" w:cs="Times New Roman"/>
        </w:rPr>
      </w:pPr>
      <w:r w:rsidRPr="00D966D8">
        <w:rPr>
          <w:rFonts w:ascii="Times New Roman" w:hAnsi="Times New Roman" w:cs="Times New Roman"/>
        </w:rPr>
        <w:t>3.5.</w:t>
      </w:r>
      <w:r w:rsidRPr="00D966D8">
        <w:rPr>
          <w:rFonts w:ascii="Times New Roman" w:hAnsi="Times New Roman" w:cs="Times New Roman"/>
        </w:rPr>
        <w:tab/>
        <w:t xml:space="preserve">En virtud de lo </w:t>
      </w:r>
      <w:r w:rsidR="008C55BC" w:rsidRPr="00D966D8">
        <w:rPr>
          <w:rFonts w:ascii="Times New Roman" w:hAnsi="Times New Roman" w:cs="Times New Roman"/>
        </w:rPr>
        <w:t>expuesto</w:t>
      </w:r>
      <w:r w:rsidRPr="00D966D8">
        <w:rPr>
          <w:rFonts w:ascii="Times New Roman" w:hAnsi="Times New Roman" w:cs="Times New Roman"/>
        </w:rPr>
        <w:t>, se confirma que el Artículo 12(3) del convenio con China incluye dentro del concepto de regalía a los pagos por el uso de cualquiera de los derechos de autor que la Ley de Propiedad Intelectual de Chile reconoce, los cuales incluyen expresamente el derecho de distribución sobre los programas computacionales (Ley N° 17.336, Artículos 3 N°16 y 18 letra e).</w:t>
      </w:r>
    </w:p>
    <w:p w:rsidR="009A6D5E" w:rsidRPr="00D966D8" w:rsidRDefault="009A6D5E" w:rsidP="00D966D8">
      <w:pPr>
        <w:pStyle w:val="Prrafodelista"/>
        <w:spacing w:after="0" w:line="240" w:lineRule="auto"/>
        <w:ind w:left="567" w:hanging="425"/>
        <w:jc w:val="both"/>
        <w:rPr>
          <w:rFonts w:ascii="Times New Roman" w:hAnsi="Times New Roman" w:cs="Times New Roman"/>
        </w:rPr>
      </w:pPr>
      <w:r w:rsidRPr="00D966D8">
        <w:rPr>
          <w:rFonts w:ascii="Times New Roman" w:hAnsi="Times New Roman" w:cs="Times New Roman"/>
        </w:rPr>
        <w:t xml:space="preserve"> </w:t>
      </w:r>
    </w:p>
    <w:p w:rsidR="00566DCB" w:rsidRPr="00D966D8" w:rsidRDefault="00566DCB" w:rsidP="00D966D8">
      <w:pPr>
        <w:pStyle w:val="Prrafodelista"/>
        <w:spacing w:after="0" w:line="240" w:lineRule="auto"/>
        <w:ind w:left="284" w:hanging="284"/>
        <w:jc w:val="both"/>
        <w:rPr>
          <w:rFonts w:ascii="Times New Roman" w:hAnsi="Times New Roman" w:cs="Times New Roman"/>
        </w:rPr>
      </w:pPr>
    </w:p>
    <w:p w:rsidR="009A6D5E" w:rsidRPr="00D966D8" w:rsidRDefault="009A6D5E" w:rsidP="00D966D8">
      <w:pPr>
        <w:pStyle w:val="Prrafodelista"/>
        <w:numPr>
          <w:ilvl w:val="0"/>
          <w:numId w:val="6"/>
        </w:numPr>
        <w:spacing w:after="0" w:line="240" w:lineRule="auto"/>
        <w:ind w:left="284" w:hanging="284"/>
        <w:jc w:val="both"/>
        <w:rPr>
          <w:rFonts w:ascii="Times New Roman" w:hAnsi="Times New Roman" w:cs="Times New Roman"/>
          <w:b/>
        </w:rPr>
      </w:pPr>
      <w:r w:rsidRPr="00D966D8">
        <w:rPr>
          <w:rFonts w:ascii="Times New Roman" w:hAnsi="Times New Roman" w:cs="Times New Roman"/>
          <w:b/>
        </w:rPr>
        <w:t>CONCLUSIÓN.</w:t>
      </w:r>
    </w:p>
    <w:p w:rsidR="009A6D5E" w:rsidRPr="00D966D8" w:rsidRDefault="009A6D5E" w:rsidP="00D966D8">
      <w:pPr>
        <w:spacing w:after="0" w:line="240" w:lineRule="auto"/>
        <w:ind w:left="284" w:hanging="284"/>
        <w:jc w:val="both"/>
        <w:rPr>
          <w:rFonts w:ascii="Times New Roman" w:hAnsi="Times New Roman" w:cs="Times New Roman"/>
        </w:rPr>
      </w:pPr>
    </w:p>
    <w:p w:rsidR="009A6D5E" w:rsidRPr="00D966D8" w:rsidRDefault="009A6D5E" w:rsidP="00D966D8">
      <w:pPr>
        <w:pStyle w:val="Prrafodelista"/>
        <w:numPr>
          <w:ilvl w:val="0"/>
          <w:numId w:val="5"/>
        </w:numPr>
        <w:spacing w:after="0" w:line="240" w:lineRule="auto"/>
        <w:ind w:left="284" w:hanging="284"/>
        <w:jc w:val="both"/>
        <w:rPr>
          <w:rFonts w:ascii="Times New Roman" w:hAnsi="Times New Roman" w:cs="Times New Roman"/>
        </w:rPr>
      </w:pPr>
      <w:r w:rsidRPr="00D966D8">
        <w:rPr>
          <w:rFonts w:ascii="Times New Roman" w:hAnsi="Times New Roman" w:cs="Times New Roman"/>
        </w:rPr>
        <w:t xml:space="preserve">Se confirma el planteamiento del Director de la DGC en su consulta, respecto de los pagos que efectúe la sociedad residente en Chile a favor de la sociedad residente de China por la cesión del uso de los derechos de propiedad intelectual sobre una marca y por la transferencia de información que reúne las características de lo que se conoce como </w:t>
      </w:r>
      <w:r w:rsidRPr="00D966D8">
        <w:rPr>
          <w:rFonts w:ascii="Times New Roman" w:hAnsi="Times New Roman" w:cs="Times New Roman"/>
          <w:i/>
        </w:rPr>
        <w:t>know-how</w:t>
      </w:r>
      <w:r w:rsidRPr="00D966D8">
        <w:rPr>
          <w:rFonts w:ascii="Times New Roman" w:hAnsi="Times New Roman" w:cs="Times New Roman"/>
        </w:rPr>
        <w:t>; en el sentido de que ambos tipos de pagos están cubiertos por el Artículo 12 del Convenio y, consecuentemente, deben gravarse con una tasa de 10%</w:t>
      </w:r>
      <w:r w:rsidR="006F394B" w:rsidRPr="00D966D8">
        <w:rPr>
          <w:rFonts w:ascii="Times New Roman" w:hAnsi="Times New Roman" w:cs="Times New Roman"/>
        </w:rPr>
        <w:t xml:space="preserve"> de Impuesto Adicional</w:t>
      </w:r>
      <w:r w:rsidRPr="00D966D8">
        <w:rPr>
          <w:rFonts w:ascii="Times New Roman" w:hAnsi="Times New Roman" w:cs="Times New Roman"/>
        </w:rPr>
        <w:t>;</w:t>
      </w:r>
    </w:p>
    <w:p w:rsidR="009A6D5E" w:rsidRPr="00D966D8" w:rsidRDefault="009A6D5E" w:rsidP="00D966D8">
      <w:pPr>
        <w:pStyle w:val="Prrafodelista"/>
        <w:spacing w:after="0" w:line="240" w:lineRule="auto"/>
        <w:ind w:left="284" w:hanging="284"/>
        <w:jc w:val="both"/>
        <w:rPr>
          <w:rFonts w:ascii="Times New Roman" w:hAnsi="Times New Roman" w:cs="Times New Roman"/>
        </w:rPr>
      </w:pPr>
    </w:p>
    <w:p w:rsidR="009A6D5E" w:rsidRPr="00D966D8" w:rsidRDefault="009A6D5E" w:rsidP="00D966D8">
      <w:pPr>
        <w:spacing w:after="0" w:line="240" w:lineRule="auto"/>
        <w:ind w:left="284" w:hanging="284"/>
        <w:jc w:val="both"/>
        <w:rPr>
          <w:rFonts w:ascii="Times New Roman" w:hAnsi="Times New Roman" w:cs="Times New Roman"/>
        </w:rPr>
      </w:pPr>
      <w:r w:rsidRPr="00D966D8">
        <w:rPr>
          <w:rFonts w:ascii="Times New Roman" w:hAnsi="Times New Roman" w:cs="Times New Roman"/>
        </w:rPr>
        <w:t>2.</w:t>
      </w:r>
      <w:r w:rsidRPr="00D966D8">
        <w:rPr>
          <w:rFonts w:ascii="Times New Roman" w:hAnsi="Times New Roman" w:cs="Times New Roman"/>
        </w:rPr>
        <w:tab/>
        <w:t>Se confirma el segundo criterio sostenido por el Director de la DGC, en el sentido de que los pagos efectuados por parte de la sociedad residente en Chile a favor de la sociedad residente en China por la cesión del uso del derecho de distribuir un programa computacional, están cubiertos por el Artículo 12 del Convenio y, consecuentemente, deben gravarse con una tasa de 10%</w:t>
      </w:r>
      <w:r w:rsidR="006F394B" w:rsidRPr="00D966D8">
        <w:rPr>
          <w:rFonts w:ascii="Times New Roman" w:hAnsi="Times New Roman" w:cs="Times New Roman"/>
        </w:rPr>
        <w:t xml:space="preserve"> de Impuesto Adicional</w:t>
      </w:r>
      <w:r w:rsidRPr="00D966D8">
        <w:rPr>
          <w:rFonts w:ascii="Times New Roman" w:hAnsi="Times New Roman" w:cs="Times New Roman"/>
        </w:rPr>
        <w:t xml:space="preserve"> y;</w:t>
      </w:r>
    </w:p>
    <w:p w:rsidR="009A6D5E" w:rsidRPr="00D966D8" w:rsidRDefault="009A6D5E" w:rsidP="00D966D8">
      <w:pPr>
        <w:spacing w:after="0" w:line="240" w:lineRule="auto"/>
        <w:ind w:left="284" w:hanging="284"/>
        <w:jc w:val="both"/>
        <w:rPr>
          <w:rFonts w:ascii="Times New Roman" w:hAnsi="Times New Roman" w:cs="Times New Roman"/>
        </w:rPr>
      </w:pPr>
    </w:p>
    <w:p w:rsidR="009A6D5E" w:rsidRPr="00D966D8" w:rsidRDefault="009A6D5E" w:rsidP="00D966D8">
      <w:pPr>
        <w:spacing w:after="0" w:line="240" w:lineRule="auto"/>
        <w:ind w:left="284" w:hanging="284"/>
        <w:jc w:val="both"/>
        <w:rPr>
          <w:rFonts w:ascii="Times New Roman" w:hAnsi="Times New Roman" w:cs="Times New Roman"/>
          <w:i/>
        </w:rPr>
      </w:pPr>
      <w:r w:rsidRPr="00D966D8">
        <w:rPr>
          <w:rFonts w:ascii="Times New Roman" w:hAnsi="Times New Roman" w:cs="Times New Roman"/>
        </w:rPr>
        <w:t xml:space="preserve">3. </w:t>
      </w:r>
      <w:r w:rsidRPr="00D966D8">
        <w:rPr>
          <w:rFonts w:ascii="Times New Roman" w:hAnsi="Times New Roman" w:cs="Times New Roman"/>
        </w:rPr>
        <w:tab/>
        <w:t>Respecto del tercer planteamiento del Director de la DGC</w:t>
      </w:r>
      <w:r w:rsidR="00EA742B" w:rsidRPr="00D966D8">
        <w:rPr>
          <w:rFonts w:ascii="Times New Roman" w:hAnsi="Times New Roman" w:cs="Times New Roman"/>
        </w:rPr>
        <w:t>, si</w:t>
      </w:r>
      <w:r w:rsidRPr="00D966D8">
        <w:rPr>
          <w:rFonts w:ascii="Times New Roman" w:hAnsi="Times New Roman" w:cs="Times New Roman"/>
        </w:rPr>
        <w:t xml:space="preserve"> mediante el ejercicio de las facultades de fiscalización de este Servicio</w:t>
      </w:r>
      <w:r w:rsidR="00EA742B" w:rsidRPr="00D966D8">
        <w:rPr>
          <w:rFonts w:ascii="Times New Roman" w:hAnsi="Times New Roman" w:cs="Times New Roman"/>
        </w:rPr>
        <w:t>,</w:t>
      </w:r>
      <w:r w:rsidRPr="00D966D8">
        <w:rPr>
          <w:rFonts w:ascii="Times New Roman" w:hAnsi="Times New Roman" w:cs="Times New Roman"/>
        </w:rPr>
        <w:t xml:space="preserve"> </w:t>
      </w:r>
      <w:r w:rsidR="00EA742B" w:rsidRPr="00D966D8">
        <w:rPr>
          <w:rFonts w:ascii="Times New Roman" w:hAnsi="Times New Roman" w:cs="Times New Roman"/>
        </w:rPr>
        <w:t xml:space="preserve">se </w:t>
      </w:r>
      <w:r w:rsidRPr="00D966D8">
        <w:rPr>
          <w:rFonts w:ascii="Times New Roman" w:hAnsi="Times New Roman" w:cs="Times New Roman"/>
        </w:rPr>
        <w:t xml:space="preserve">corrobora que </w:t>
      </w:r>
      <w:r w:rsidR="00EA742B" w:rsidRPr="00D966D8">
        <w:rPr>
          <w:rFonts w:ascii="Times New Roman" w:hAnsi="Times New Roman" w:cs="Times New Roman"/>
        </w:rPr>
        <w:t xml:space="preserve">se </w:t>
      </w:r>
      <w:r w:rsidRPr="00D966D8">
        <w:rPr>
          <w:rFonts w:ascii="Times New Roman" w:hAnsi="Times New Roman" w:cs="Times New Roman"/>
        </w:rPr>
        <w:t>verifican en la práctica</w:t>
      </w:r>
      <w:r w:rsidR="00EA742B" w:rsidRPr="00D966D8">
        <w:rPr>
          <w:rFonts w:ascii="Times New Roman" w:hAnsi="Times New Roman" w:cs="Times New Roman"/>
        </w:rPr>
        <w:t xml:space="preserve"> los supuestos de relación contemplados en el Artículo 41E de la LIR, </w:t>
      </w:r>
      <w:r w:rsidRPr="00D966D8">
        <w:rPr>
          <w:rFonts w:ascii="Times New Roman" w:hAnsi="Times New Roman" w:cs="Times New Roman"/>
        </w:rPr>
        <w:t xml:space="preserve">efectivamente este Servicio puede impugnar los precios de transferencia entre las partes relacionadas. </w:t>
      </w:r>
    </w:p>
    <w:p w:rsidR="009A6D5E" w:rsidRPr="00D966D8" w:rsidRDefault="009A6D5E" w:rsidP="00D966D8">
      <w:pPr>
        <w:spacing w:after="0" w:line="240" w:lineRule="auto"/>
        <w:ind w:left="284" w:hanging="284"/>
        <w:jc w:val="both"/>
        <w:rPr>
          <w:rFonts w:ascii="Times New Roman" w:hAnsi="Times New Roman" w:cs="Times New Roman"/>
        </w:rPr>
      </w:pPr>
    </w:p>
    <w:p w:rsidR="009B7B51" w:rsidRDefault="009B7B51" w:rsidP="00D966D8">
      <w:pPr>
        <w:spacing w:after="0" w:line="240" w:lineRule="auto"/>
        <w:ind w:left="284" w:hanging="284"/>
        <w:jc w:val="both"/>
        <w:rPr>
          <w:rFonts w:ascii="Times New Roman" w:hAnsi="Times New Roman" w:cs="Times New Roman"/>
        </w:rPr>
      </w:pPr>
    </w:p>
    <w:p w:rsidR="008C4F01" w:rsidRDefault="008C4F01" w:rsidP="00D966D8">
      <w:pPr>
        <w:spacing w:after="0" w:line="240" w:lineRule="auto"/>
        <w:ind w:left="284" w:hanging="284"/>
        <w:jc w:val="both"/>
        <w:rPr>
          <w:rFonts w:ascii="Times New Roman" w:hAnsi="Times New Roman" w:cs="Times New Roman"/>
        </w:rPr>
      </w:pPr>
    </w:p>
    <w:p w:rsidR="008C4F01" w:rsidRDefault="008C4F01" w:rsidP="00D966D8">
      <w:pPr>
        <w:spacing w:after="0" w:line="240" w:lineRule="auto"/>
        <w:ind w:left="284" w:hanging="284"/>
        <w:jc w:val="both"/>
        <w:rPr>
          <w:rFonts w:ascii="Times New Roman" w:hAnsi="Times New Roman" w:cs="Times New Roman"/>
        </w:rPr>
      </w:pPr>
    </w:p>
    <w:p w:rsidR="008C4F01" w:rsidRPr="00D966D8" w:rsidRDefault="008C4F01" w:rsidP="00D966D8">
      <w:pPr>
        <w:spacing w:after="0" w:line="240" w:lineRule="auto"/>
        <w:ind w:left="284" w:hanging="284"/>
        <w:jc w:val="both"/>
        <w:rPr>
          <w:rFonts w:ascii="Times New Roman" w:hAnsi="Times New Roman" w:cs="Times New Roman"/>
        </w:rPr>
      </w:pPr>
    </w:p>
    <w:p w:rsidR="009B7B51" w:rsidRPr="00D966D8" w:rsidRDefault="009B7B51" w:rsidP="00D966D8">
      <w:pPr>
        <w:spacing w:after="0" w:line="240" w:lineRule="auto"/>
        <w:ind w:left="4820"/>
        <w:jc w:val="center"/>
        <w:rPr>
          <w:rFonts w:ascii="Times New Roman" w:hAnsi="Times New Roman" w:cs="Times New Roman"/>
          <w:b/>
        </w:rPr>
      </w:pPr>
      <w:r w:rsidRPr="00D966D8">
        <w:rPr>
          <w:rFonts w:ascii="Times New Roman" w:hAnsi="Times New Roman" w:cs="Times New Roman"/>
          <w:b/>
        </w:rPr>
        <w:t>FERNANDO BARRAZA LUENGO</w:t>
      </w:r>
    </w:p>
    <w:p w:rsidR="009B7B51" w:rsidRDefault="009B7B51" w:rsidP="00D966D8">
      <w:pPr>
        <w:spacing w:after="0" w:line="240" w:lineRule="auto"/>
        <w:ind w:left="4820"/>
        <w:jc w:val="center"/>
        <w:rPr>
          <w:rFonts w:ascii="Times New Roman" w:hAnsi="Times New Roman" w:cs="Times New Roman"/>
          <w:b/>
        </w:rPr>
      </w:pPr>
      <w:r w:rsidRPr="00D966D8">
        <w:rPr>
          <w:rFonts w:ascii="Times New Roman" w:hAnsi="Times New Roman" w:cs="Times New Roman"/>
          <w:b/>
        </w:rPr>
        <w:t>DIRECTOR</w:t>
      </w:r>
    </w:p>
    <w:p w:rsidR="00D966D8" w:rsidRDefault="00D966D8" w:rsidP="00D966D8">
      <w:pPr>
        <w:spacing w:after="0" w:line="240" w:lineRule="auto"/>
        <w:rPr>
          <w:rFonts w:ascii="Times New Roman" w:hAnsi="Times New Roman" w:cs="Times New Roman"/>
          <w:b/>
        </w:rPr>
      </w:pPr>
    </w:p>
    <w:p w:rsidR="008C4F01" w:rsidRDefault="008C4F01" w:rsidP="00D966D8">
      <w:pPr>
        <w:spacing w:after="0" w:line="240" w:lineRule="auto"/>
        <w:rPr>
          <w:rFonts w:ascii="Times New Roman" w:hAnsi="Times New Roman" w:cs="Times New Roman"/>
          <w:b/>
        </w:rPr>
      </w:pPr>
    </w:p>
    <w:p w:rsidR="008C4F01" w:rsidRDefault="008C4F01" w:rsidP="00D966D8">
      <w:pPr>
        <w:spacing w:after="0" w:line="240" w:lineRule="auto"/>
        <w:rPr>
          <w:rFonts w:ascii="Times New Roman" w:hAnsi="Times New Roman" w:cs="Times New Roman"/>
          <w:b/>
        </w:rPr>
      </w:pPr>
    </w:p>
    <w:p w:rsidR="008C4F01" w:rsidRDefault="008C4F01" w:rsidP="00D966D8">
      <w:pPr>
        <w:spacing w:after="0" w:line="240" w:lineRule="auto"/>
        <w:rPr>
          <w:rFonts w:ascii="Times New Roman" w:hAnsi="Times New Roman" w:cs="Times New Roman"/>
          <w:b/>
        </w:rPr>
      </w:pPr>
    </w:p>
    <w:p w:rsidR="00FF30C2" w:rsidRDefault="00FF30C2" w:rsidP="00D966D8">
      <w:pPr>
        <w:spacing w:after="0" w:line="240" w:lineRule="auto"/>
        <w:rPr>
          <w:rFonts w:ascii="Times New Roman" w:hAnsi="Times New Roman" w:cs="Times New Roman"/>
          <w:b/>
        </w:rPr>
      </w:pPr>
    </w:p>
    <w:p w:rsidR="00FF30C2" w:rsidRDefault="00FF30C2" w:rsidP="00D966D8">
      <w:pPr>
        <w:spacing w:after="0" w:line="240" w:lineRule="auto"/>
        <w:rPr>
          <w:rFonts w:ascii="Times New Roman" w:hAnsi="Times New Roman" w:cs="Times New Roman"/>
          <w:b/>
        </w:rPr>
      </w:pPr>
    </w:p>
    <w:p w:rsidR="00D966D8" w:rsidRDefault="00D966D8" w:rsidP="00D966D8">
      <w:pPr>
        <w:spacing w:after="0" w:line="240" w:lineRule="auto"/>
        <w:jc w:val="center"/>
        <w:rPr>
          <w:rFonts w:ascii="Times New Roman" w:hAnsi="Times New Roman" w:cs="Times New Roman"/>
        </w:rPr>
      </w:pPr>
      <w:r>
        <w:rPr>
          <w:rFonts w:ascii="Times New Roman" w:hAnsi="Times New Roman" w:cs="Times New Roman"/>
        </w:rPr>
        <w:t>Oficio N° 124, de 18.01.2018</w:t>
      </w:r>
    </w:p>
    <w:p w:rsidR="00D966D8" w:rsidRDefault="00D966D8" w:rsidP="00D966D8">
      <w:pPr>
        <w:spacing w:after="0" w:line="240" w:lineRule="auto"/>
        <w:jc w:val="center"/>
        <w:rPr>
          <w:rFonts w:ascii="Times New Roman" w:hAnsi="Times New Roman" w:cs="Times New Roman"/>
          <w:b/>
        </w:rPr>
      </w:pPr>
      <w:r>
        <w:rPr>
          <w:rFonts w:ascii="Times New Roman" w:hAnsi="Times New Roman" w:cs="Times New Roman"/>
          <w:b/>
        </w:rPr>
        <w:t>Subdirección Normativa</w:t>
      </w:r>
    </w:p>
    <w:p w:rsidR="00D966D8" w:rsidRPr="00D966D8" w:rsidRDefault="00D966D8" w:rsidP="00D966D8">
      <w:pPr>
        <w:spacing w:after="0" w:line="240" w:lineRule="auto"/>
        <w:jc w:val="center"/>
        <w:rPr>
          <w:rFonts w:ascii="Times New Roman" w:hAnsi="Times New Roman" w:cs="Times New Roman"/>
        </w:rPr>
      </w:pPr>
      <w:r>
        <w:rPr>
          <w:rFonts w:ascii="Times New Roman" w:hAnsi="Times New Roman" w:cs="Times New Roman"/>
        </w:rPr>
        <w:t>Dpto. de Normas Internacionales</w:t>
      </w:r>
    </w:p>
    <w:p w:rsidR="00CE3672" w:rsidRPr="00D966D8" w:rsidRDefault="00CE3672" w:rsidP="00D966D8">
      <w:pPr>
        <w:spacing w:after="0" w:line="240" w:lineRule="auto"/>
        <w:ind w:left="284" w:hanging="284"/>
        <w:jc w:val="both"/>
        <w:rPr>
          <w:rFonts w:ascii="Times New Roman" w:hAnsi="Times New Roman" w:cs="Times New Roman"/>
          <w:b/>
        </w:rPr>
      </w:pPr>
    </w:p>
    <w:p w:rsidR="00CE3672" w:rsidRPr="00D966D8" w:rsidRDefault="00CE3672" w:rsidP="00D966D8">
      <w:pPr>
        <w:spacing w:after="0" w:line="240" w:lineRule="auto"/>
        <w:ind w:left="284" w:hanging="284"/>
        <w:jc w:val="both"/>
        <w:rPr>
          <w:rFonts w:ascii="Times New Roman" w:hAnsi="Times New Roman" w:cs="Times New Roman"/>
          <w:b/>
        </w:rPr>
      </w:pPr>
    </w:p>
    <w:p w:rsidR="00CE3672" w:rsidRPr="00D966D8" w:rsidRDefault="00CE3672" w:rsidP="00D966D8">
      <w:pPr>
        <w:spacing w:after="0" w:line="240" w:lineRule="auto"/>
        <w:ind w:left="284" w:hanging="284"/>
        <w:jc w:val="both"/>
        <w:rPr>
          <w:rFonts w:ascii="Times New Roman" w:hAnsi="Times New Roman" w:cs="Times New Roman"/>
          <w:b/>
        </w:rPr>
      </w:pPr>
      <w:bookmarkStart w:id="0" w:name="_GoBack"/>
      <w:bookmarkEnd w:id="0"/>
    </w:p>
    <w:sectPr w:rsidR="00CE3672" w:rsidRPr="00D966D8" w:rsidSect="00D966D8">
      <w:footerReference w:type="default" r:id="rId7"/>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447" w:rsidRDefault="00CE2447" w:rsidP="005D54E1">
      <w:pPr>
        <w:spacing w:after="0" w:line="240" w:lineRule="auto"/>
      </w:pPr>
      <w:r>
        <w:separator/>
      </w:r>
    </w:p>
  </w:endnote>
  <w:endnote w:type="continuationSeparator" w:id="0">
    <w:p w:rsidR="00CE2447" w:rsidRDefault="00CE2447" w:rsidP="005D5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28377"/>
      <w:docPartObj>
        <w:docPartGallery w:val="Page Numbers (Bottom of Page)"/>
        <w:docPartUnique/>
      </w:docPartObj>
    </w:sdtPr>
    <w:sdtEndPr/>
    <w:sdtContent>
      <w:p w:rsidR="005D54E1" w:rsidRDefault="005D54E1">
        <w:pPr>
          <w:pStyle w:val="Piedepgina"/>
          <w:jc w:val="right"/>
        </w:pPr>
        <w:r>
          <w:fldChar w:fldCharType="begin"/>
        </w:r>
        <w:r>
          <w:instrText>PAGE   \* MERGEFORMAT</w:instrText>
        </w:r>
        <w:r>
          <w:fldChar w:fldCharType="separate"/>
        </w:r>
        <w:r w:rsidR="003A5FA9" w:rsidRPr="003A5FA9">
          <w:rPr>
            <w:noProof/>
            <w:lang w:val="es-ES"/>
          </w:rPr>
          <w:t>2</w:t>
        </w:r>
        <w:r>
          <w:fldChar w:fldCharType="end"/>
        </w:r>
      </w:p>
    </w:sdtContent>
  </w:sdt>
  <w:p w:rsidR="005D54E1" w:rsidRDefault="005D54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447" w:rsidRDefault="00CE2447" w:rsidP="005D54E1">
      <w:pPr>
        <w:spacing w:after="0" w:line="240" w:lineRule="auto"/>
      </w:pPr>
      <w:r>
        <w:separator/>
      </w:r>
    </w:p>
  </w:footnote>
  <w:footnote w:type="continuationSeparator" w:id="0">
    <w:p w:rsidR="00CE2447" w:rsidRDefault="00CE2447" w:rsidP="005D54E1">
      <w:pPr>
        <w:spacing w:after="0" w:line="240" w:lineRule="auto"/>
      </w:pPr>
      <w:r>
        <w:continuationSeparator/>
      </w:r>
    </w:p>
  </w:footnote>
  <w:footnote w:id="1">
    <w:p w:rsidR="00F9465F" w:rsidRPr="009A6D5E" w:rsidRDefault="00F9465F" w:rsidP="00F9465F">
      <w:pPr>
        <w:pStyle w:val="Textonotapie"/>
        <w:jc w:val="both"/>
        <w:rPr>
          <w:sz w:val="16"/>
          <w:szCs w:val="16"/>
          <w:lang w:val="en-US"/>
        </w:rPr>
      </w:pPr>
      <w:r w:rsidRPr="009A6D5E">
        <w:rPr>
          <w:rStyle w:val="Refdenotaalpie"/>
          <w:sz w:val="16"/>
          <w:szCs w:val="16"/>
        </w:rPr>
        <w:footnoteRef/>
      </w:r>
      <w:r w:rsidRPr="009A6D5E">
        <w:rPr>
          <w:sz w:val="16"/>
          <w:szCs w:val="16"/>
          <w:lang w:val="en-US"/>
        </w:rPr>
        <w:t xml:space="preserve"> “</w:t>
      </w:r>
      <w:r w:rsidRPr="009A6D5E">
        <w:rPr>
          <w:i/>
          <w:sz w:val="16"/>
          <w:szCs w:val="16"/>
          <w:lang w:val="en-US"/>
        </w:rPr>
        <w:t>In such transactions, distributors are paying only for the acquisition of the software copies and not to exploit any right in the software copyrights.</w:t>
      </w:r>
      <w:r w:rsidRPr="009A6D5E">
        <w:rPr>
          <w:sz w:val="16"/>
          <w:szCs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32CC6"/>
    <w:multiLevelType w:val="hybridMultilevel"/>
    <w:tmpl w:val="22BE30CE"/>
    <w:lvl w:ilvl="0" w:tplc="1FB025A2">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152318E"/>
    <w:multiLevelType w:val="hybridMultilevel"/>
    <w:tmpl w:val="3BDCF154"/>
    <w:lvl w:ilvl="0" w:tplc="BA3070F0">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 w15:restartNumberingAfterBreak="0">
    <w:nsid w:val="1D9358B9"/>
    <w:multiLevelType w:val="hybridMultilevel"/>
    <w:tmpl w:val="4C748FEE"/>
    <w:lvl w:ilvl="0" w:tplc="53C66A16">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87371D4"/>
    <w:multiLevelType w:val="hybridMultilevel"/>
    <w:tmpl w:val="F4ACFDFC"/>
    <w:lvl w:ilvl="0" w:tplc="BFF82AA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D781EF6"/>
    <w:multiLevelType w:val="hybridMultilevel"/>
    <w:tmpl w:val="F6CCB33A"/>
    <w:lvl w:ilvl="0" w:tplc="786E933C">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8A23368"/>
    <w:multiLevelType w:val="hybridMultilevel"/>
    <w:tmpl w:val="36C6B5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8C"/>
    <w:rsid w:val="000001D5"/>
    <w:rsid w:val="0000673E"/>
    <w:rsid w:val="00015FB5"/>
    <w:rsid w:val="00016214"/>
    <w:rsid w:val="000311F1"/>
    <w:rsid w:val="00035999"/>
    <w:rsid w:val="00056470"/>
    <w:rsid w:val="00077D09"/>
    <w:rsid w:val="00082D3B"/>
    <w:rsid w:val="000B64BE"/>
    <w:rsid w:val="000F5CB9"/>
    <w:rsid w:val="00112B44"/>
    <w:rsid w:val="001478E1"/>
    <w:rsid w:val="00172191"/>
    <w:rsid w:val="00184A71"/>
    <w:rsid w:val="001A555D"/>
    <w:rsid w:val="001A58B1"/>
    <w:rsid w:val="001C508F"/>
    <w:rsid w:val="001D4081"/>
    <w:rsid w:val="00214A0F"/>
    <w:rsid w:val="00215F7A"/>
    <w:rsid w:val="002235E7"/>
    <w:rsid w:val="0024509D"/>
    <w:rsid w:val="00273525"/>
    <w:rsid w:val="002A23CB"/>
    <w:rsid w:val="002A6819"/>
    <w:rsid w:val="002B4E73"/>
    <w:rsid w:val="002C40A1"/>
    <w:rsid w:val="002E6EB3"/>
    <w:rsid w:val="002F5B9E"/>
    <w:rsid w:val="00310F8E"/>
    <w:rsid w:val="003270DD"/>
    <w:rsid w:val="00360CC6"/>
    <w:rsid w:val="00365A60"/>
    <w:rsid w:val="003A4B62"/>
    <w:rsid w:val="003A5FA9"/>
    <w:rsid w:val="003B6B19"/>
    <w:rsid w:val="003C2240"/>
    <w:rsid w:val="003C2304"/>
    <w:rsid w:val="003E3880"/>
    <w:rsid w:val="003E696E"/>
    <w:rsid w:val="003F5E48"/>
    <w:rsid w:val="0040166C"/>
    <w:rsid w:val="00411A1B"/>
    <w:rsid w:val="004152D2"/>
    <w:rsid w:val="0044764E"/>
    <w:rsid w:val="00467D44"/>
    <w:rsid w:val="00471333"/>
    <w:rsid w:val="004979AC"/>
    <w:rsid w:val="004C52DC"/>
    <w:rsid w:val="004E46E7"/>
    <w:rsid w:val="0052452E"/>
    <w:rsid w:val="0052598C"/>
    <w:rsid w:val="00540395"/>
    <w:rsid w:val="00547E02"/>
    <w:rsid w:val="00553FC2"/>
    <w:rsid w:val="00563D49"/>
    <w:rsid w:val="00566DCB"/>
    <w:rsid w:val="00592391"/>
    <w:rsid w:val="005B23B9"/>
    <w:rsid w:val="005B324F"/>
    <w:rsid w:val="005D54E1"/>
    <w:rsid w:val="005E07DD"/>
    <w:rsid w:val="005F10C5"/>
    <w:rsid w:val="00613FDD"/>
    <w:rsid w:val="0065225B"/>
    <w:rsid w:val="00672125"/>
    <w:rsid w:val="006763B0"/>
    <w:rsid w:val="00681068"/>
    <w:rsid w:val="00690C0A"/>
    <w:rsid w:val="006933B8"/>
    <w:rsid w:val="006C44CD"/>
    <w:rsid w:val="006E4CCB"/>
    <w:rsid w:val="006E7A88"/>
    <w:rsid w:val="006F394B"/>
    <w:rsid w:val="00726298"/>
    <w:rsid w:val="00740246"/>
    <w:rsid w:val="00741064"/>
    <w:rsid w:val="0076111D"/>
    <w:rsid w:val="007620AC"/>
    <w:rsid w:val="007806FD"/>
    <w:rsid w:val="00780FB9"/>
    <w:rsid w:val="007C1306"/>
    <w:rsid w:val="007C356F"/>
    <w:rsid w:val="007D12D0"/>
    <w:rsid w:val="007E0269"/>
    <w:rsid w:val="00814F7D"/>
    <w:rsid w:val="00817D52"/>
    <w:rsid w:val="0083574F"/>
    <w:rsid w:val="00866FA0"/>
    <w:rsid w:val="00867C00"/>
    <w:rsid w:val="00882A5A"/>
    <w:rsid w:val="00890B7E"/>
    <w:rsid w:val="008963F1"/>
    <w:rsid w:val="008B0A5A"/>
    <w:rsid w:val="008C4F01"/>
    <w:rsid w:val="008C55BC"/>
    <w:rsid w:val="008E48F6"/>
    <w:rsid w:val="008E5B4C"/>
    <w:rsid w:val="00920672"/>
    <w:rsid w:val="00950304"/>
    <w:rsid w:val="00950A80"/>
    <w:rsid w:val="009520F3"/>
    <w:rsid w:val="00957607"/>
    <w:rsid w:val="00957D81"/>
    <w:rsid w:val="00974099"/>
    <w:rsid w:val="00985AE4"/>
    <w:rsid w:val="009A58BE"/>
    <w:rsid w:val="009A6D5E"/>
    <w:rsid w:val="009B7B51"/>
    <w:rsid w:val="009B7BCF"/>
    <w:rsid w:val="009C03C0"/>
    <w:rsid w:val="009C1D76"/>
    <w:rsid w:val="009E2B17"/>
    <w:rsid w:val="009F2828"/>
    <w:rsid w:val="00A127B7"/>
    <w:rsid w:val="00A1556B"/>
    <w:rsid w:val="00A1692C"/>
    <w:rsid w:val="00A40C49"/>
    <w:rsid w:val="00A45798"/>
    <w:rsid w:val="00A47EDF"/>
    <w:rsid w:val="00A55F5B"/>
    <w:rsid w:val="00A97F36"/>
    <w:rsid w:val="00AC4B08"/>
    <w:rsid w:val="00AE27E0"/>
    <w:rsid w:val="00AE3F19"/>
    <w:rsid w:val="00B00CC4"/>
    <w:rsid w:val="00B07A8F"/>
    <w:rsid w:val="00B1650F"/>
    <w:rsid w:val="00B234F4"/>
    <w:rsid w:val="00B31409"/>
    <w:rsid w:val="00B3314B"/>
    <w:rsid w:val="00B61C6E"/>
    <w:rsid w:val="00B643EE"/>
    <w:rsid w:val="00B819A9"/>
    <w:rsid w:val="00B913E3"/>
    <w:rsid w:val="00B97DC8"/>
    <w:rsid w:val="00BC4D73"/>
    <w:rsid w:val="00BC4E97"/>
    <w:rsid w:val="00BC6BFC"/>
    <w:rsid w:val="00BD7B2F"/>
    <w:rsid w:val="00BE3945"/>
    <w:rsid w:val="00BF1AE6"/>
    <w:rsid w:val="00BF78C3"/>
    <w:rsid w:val="00C06FBD"/>
    <w:rsid w:val="00C1551A"/>
    <w:rsid w:val="00C33E1D"/>
    <w:rsid w:val="00C36660"/>
    <w:rsid w:val="00C53E86"/>
    <w:rsid w:val="00C561A1"/>
    <w:rsid w:val="00C56BE2"/>
    <w:rsid w:val="00C56E4B"/>
    <w:rsid w:val="00C644F7"/>
    <w:rsid w:val="00CB37C4"/>
    <w:rsid w:val="00CE2447"/>
    <w:rsid w:val="00CE3672"/>
    <w:rsid w:val="00D067D4"/>
    <w:rsid w:val="00D10DA7"/>
    <w:rsid w:val="00D15918"/>
    <w:rsid w:val="00D3601C"/>
    <w:rsid w:val="00D41988"/>
    <w:rsid w:val="00D43BC9"/>
    <w:rsid w:val="00D463D4"/>
    <w:rsid w:val="00D62FE7"/>
    <w:rsid w:val="00D966D8"/>
    <w:rsid w:val="00D96989"/>
    <w:rsid w:val="00DA4AF1"/>
    <w:rsid w:val="00DC4945"/>
    <w:rsid w:val="00DE39D5"/>
    <w:rsid w:val="00E06195"/>
    <w:rsid w:val="00E26B14"/>
    <w:rsid w:val="00E47405"/>
    <w:rsid w:val="00E56798"/>
    <w:rsid w:val="00E7185B"/>
    <w:rsid w:val="00E93A34"/>
    <w:rsid w:val="00EA330C"/>
    <w:rsid w:val="00EA58D7"/>
    <w:rsid w:val="00EA5DAD"/>
    <w:rsid w:val="00EA742B"/>
    <w:rsid w:val="00EC01BF"/>
    <w:rsid w:val="00ED4786"/>
    <w:rsid w:val="00F121E8"/>
    <w:rsid w:val="00F33807"/>
    <w:rsid w:val="00F37569"/>
    <w:rsid w:val="00F43B30"/>
    <w:rsid w:val="00F612CF"/>
    <w:rsid w:val="00F82119"/>
    <w:rsid w:val="00F85BCE"/>
    <w:rsid w:val="00F85E59"/>
    <w:rsid w:val="00F9465F"/>
    <w:rsid w:val="00F966F3"/>
    <w:rsid w:val="00FA6381"/>
    <w:rsid w:val="00FF30C2"/>
    <w:rsid w:val="00FF651A"/>
    <w:rsid w:val="00FF6B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CA317"/>
  <w15:chartTrackingRefBased/>
  <w15:docId w15:val="{10673643-74DC-4363-9630-D46228F4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7B2F"/>
    <w:pPr>
      <w:ind w:left="720"/>
      <w:contextualSpacing/>
    </w:pPr>
  </w:style>
  <w:style w:type="paragraph" w:styleId="Textodeglobo">
    <w:name w:val="Balloon Text"/>
    <w:basedOn w:val="Normal"/>
    <w:link w:val="TextodegloboCar"/>
    <w:uiPriority w:val="99"/>
    <w:semiHidden/>
    <w:unhideWhenUsed/>
    <w:rsid w:val="00273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3525"/>
    <w:rPr>
      <w:rFonts w:ascii="Segoe UI" w:hAnsi="Segoe UI" w:cs="Segoe UI"/>
      <w:sz w:val="18"/>
      <w:szCs w:val="18"/>
    </w:rPr>
  </w:style>
  <w:style w:type="paragraph" w:styleId="Textoindependiente">
    <w:name w:val="Body Text"/>
    <w:basedOn w:val="Normal"/>
    <w:link w:val="TextoindependienteCar"/>
    <w:rsid w:val="00172191"/>
    <w:pPr>
      <w:spacing w:after="0" w:line="240" w:lineRule="auto"/>
      <w:jc w:val="both"/>
    </w:pPr>
    <w:rPr>
      <w:rFonts w:ascii="Arial" w:eastAsia="Times New Roman" w:hAnsi="Arial" w:cs="Arial"/>
      <w:b/>
      <w:bCs/>
      <w:szCs w:val="24"/>
      <w:lang w:val="es-ES" w:eastAsia="es-ES"/>
    </w:rPr>
  </w:style>
  <w:style w:type="character" w:customStyle="1" w:styleId="TextoindependienteCar">
    <w:name w:val="Texto independiente Car"/>
    <w:basedOn w:val="Fuentedeprrafopredeter"/>
    <w:link w:val="Textoindependiente"/>
    <w:rsid w:val="00172191"/>
    <w:rPr>
      <w:rFonts w:ascii="Arial" w:eastAsia="Times New Roman" w:hAnsi="Arial" w:cs="Arial"/>
      <w:b/>
      <w:bCs/>
      <w:szCs w:val="24"/>
      <w:lang w:val="es-ES" w:eastAsia="es-ES"/>
    </w:rPr>
  </w:style>
  <w:style w:type="paragraph" w:styleId="Encabezado">
    <w:name w:val="header"/>
    <w:basedOn w:val="Normal"/>
    <w:link w:val="EncabezadoCar"/>
    <w:uiPriority w:val="99"/>
    <w:unhideWhenUsed/>
    <w:rsid w:val="005D54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54E1"/>
  </w:style>
  <w:style w:type="paragraph" w:styleId="Piedepgina">
    <w:name w:val="footer"/>
    <w:basedOn w:val="Normal"/>
    <w:link w:val="PiedepginaCar"/>
    <w:uiPriority w:val="99"/>
    <w:unhideWhenUsed/>
    <w:rsid w:val="005D54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54E1"/>
  </w:style>
  <w:style w:type="paragraph" w:styleId="Textonotapie">
    <w:name w:val="footnote text"/>
    <w:basedOn w:val="Normal"/>
    <w:link w:val="TextonotapieCar"/>
    <w:uiPriority w:val="99"/>
    <w:semiHidden/>
    <w:unhideWhenUsed/>
    <w:rsid w:val="009A6D5E"/>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9A6D5E"/>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unhideWhenUsed/>
    <w:rsid w:val="009A6D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8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1736</Words>
  <Characters>9548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Servicio de Impuestos Internos</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Adolfo Baraona Valenzuela</dc:creator>
  <cp:keywords/>
  <dc:description/>
  <cp:lastModifiedBy>María Paz</cp:lastModifiedBy>
  <cp:revision>28</cp:revision>
  <cp:lastPrinted>2017-12-06T15:43:00Z</cp:lastPrinted>
  <dcterms:created xsi:type="dcterms:W3CDTF">2017-12-06T11:51:00Z</dcterms:created>
  <dcterms:modified xsi:type="dcterms:W3CDTF">2018-01-30T15:26:00Z</dcterms:modified>
</cp:coreProperties>
</file>