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C08" w:rsidRDefault="00164C08" w:rsidP="00164C08">
      <w:pPr>
        <w:spacing w:after="160" w:line="259" w:lineRule="auto"/>
        <w:contextualSpacing/>
        <w:jc w:val="center"/>
        <w:rPr>
          <w:rFonts w:ascii="Times New Roman" w:eastAsia="Calibri" w:hAnsi="Times New Roman" w:cs="Times New Roman"/>
          <w:b/>
        </w:rPr>
      </w:pPr>
      <w:r w:rsidRPr="00164C08">
        <w:rPr>
          <w:rFonts w:ascii="Times New Roman" w:eastAsia="Calibri" w:hAnsi="Times New Roman" w:cs="Times New Roman"/>
          <w:b/>
        </w:rPr>
        <w:t>LEY SOBRE IMPUESTO A LAS HERENCIAS, ASIGNACIONES Y DONACIONES – LEY N° 16.271 – ART. 26 – LEY N° 20.255, ART. 4</w:t>
      </w:r>
      <w:r>
        <w:rPr>
          <w:rFonts w:ascii="Times New Roman" w:eastAsia="Calibri" w:hAnsi="Times New Roman" w:cs="Times New Roman"/>
          <w:b/>
        </w:rPr>
        <w:t>7, ART. 55, N°6 – OFICIO N° 2387</w:t>
      </w:r>
      <w:bookmarkStart w:id="0" w:name="_GoBack"/>
      <w:bookmarkEnd w:id="0"/>
      <w:r w:rsidRPr="00164C08">
        <w:rPr>
          <w:rFonts w:ascii="Times New Roman" w:eastAsia="Calibri" w:hAnsi="Times New Roman" w:cs="Times New Roman"/>
          <w:b/>
        </w:rPr>
        <w:t>, DE 2015. (ORD. N° 1612, DE 17.07.2017)</w:t>
      </w:r>
    </w:p>
    <w:p w:rsidR="00164C08" w:rsidRPr="00164C08" w:rsidRDefault="00164C08" w:rsidP="00164C08">
      <w:pPr>
        <w:spacing w:after="160" w:line="259" w:lineRule="auto"/>
        <w:contextualSpacing/>
        <w:jc w:val="center"/>
        <w:rPr>
          <w:rFonts w:ascii="Times New Roman" w:eastAsia="Calibri" w:hAnsi="Times New Roman" w:cs="Times New Roman"/>
          <w:b/>
          <w:u w:val="thick"/>
        </w:rPr>
      </w:pPr>
      <w:r>
        <w:rPr>
          <w:rFonts w:ascii="Times New Roman" w:eastAsia="Calibri" w:hAnsi="Times New Roman" w:cs="Times New Roman"/>
          <w:b/>
          <w:u w:val="thick"/>
        </w:rPr>
        <w:tab/>
      </w:r>
      <w:r>
        <w:rPr>
          <w:rFonts w:ascii="Times New Roman" w:eastAsia="Calibri" w:hAnsi="Times New Roman" w:cs="Times New Roman"/>
          <w:b/>
          <w:u w:val="thick"/>
        </w:rPr>
        <w:tab/>
      </w:r>
      <w:r>
        <w:rPr>
          <w:rFonts w:ascii="Times New Roman" w:eastAsia="Calibri" w:hAnsi="Times New Roman" w:cs="Times New Roman"/>
          <w:b/>
          <w:u w:val="thick"/>
        </w:rPr>
        <w:tab/>
      </w:r>
      <w:r>
        <w:rPr>
          <w:rFonts w:ascii="Times New Roman" w:eastAsia="Calibri" w:hAnsi="Times New Roman" w:cs="Times New Roman"/>
          <w:b/>
          <w:u w:val="thick"/>
        </w:rPr>
        <w:tab/>
      </w:r>
      <w:r>
        <w:rPr>
          <w:rFonts w:ascii="Times New Roman" w:eastAsia="Calibri" w:hAnsi="Times New Roman" w:cs="Times New Roman"/>
          <w:b/>
          <w:u w:val="thick"/>
        </w:rPr>
        <w:tab/>
      </w:r>
      <w:r>
        <w:rPr>
          <w:rFonts w:ascii="Times New Roman" w:eastAsia="Calibri" w:hAnsi="Times New Roman" w:cs="Times New Roman"/>
          <w:b/>
          <w:u w:val="thick"/>
        </w:rPr>
        <w:tab/>
      </w:r>
      <w:r>
        <w:rPr>
          <w:rFonts w:ascii="Times New Roman" w:eastAsia="Calibri" w:hAnsi="Times New Roman" w:cs="Times New Roman"/>
          <w:b/>
          <w:u w:val="thick"/>
        </w:rPr>
        <w:tab/>
      </w:r>
      <w:r>
        <w:rPr>
          <w:rFonts w:ascii="Times New Roman" w:eastAsia="Calibri" w:hAnsi="Times New Roman" w:cs="Times New Roman"/>
          <w:b/>
          <w:u w:val="thick"/>
        </w:rPr>
        <w:tab/>
      </w:r>
      <w:r>
        <w:rPr>
          <w:rFonts w:ascii="Times New Roman" w:eastAsia="Calibri" w:hAnsi="Times New Roman" w:cs="Times New Roman"/>
          <w:b/>
          <w:u w:val="thick"/>
        </w:rPr>
        <w:tab/>
      </w:r>
      <w:r>
        <w:rPr>
          <w:rFonts w:ascii="Times New Roman" w:eastAsia="Calibri" w:hAnsi="Times New Roman" w:cs="Times New Roman"/>
          <w:b/>
          <w:u w:val="thick"/>
        </w:rPr>
        <w:tab/>
      </w:r>
      <w:r>
        <w:rPr>
          <w:rFonts w:ascii="Times New Roman" w:eastAsia="Calibri" w:hAnsi="Times New Roman" w:cs="Times New Roman"/>
          <w:b/>
          <w:u w:val="thick"/>
        </w:rPr>
        <w:tab/>
      </w:r>
      <w:r>
        <w:rPr>
          <w:rFonts w:ascii="Times New Roman" w:eastAsia="Calibri" w:hAnsi="Times New Roman" w:cs="Times New Roman"/>
          <w:b/>
          <w:u w:val="thick"/>
        </w:rPr>
        <w:tab/>
      </w:r>
    </w:p>
    <w:p w:rsidR="007E7F2A" w:rsidRPr="00A904BA" w:rsidRDefault="00BF01AE" w:rsidP="00EF46AD">
      <w:pPr>
        <w:spacing w:line="240" w:lineRule="auto"/>
        <w:jc w:val="both"/>
        <w:rPr>
          <w:rFonts w:ascii="Times New Roman" w:hAnsi="Times New Roman" w:cs="Times New Roman"/>
          <w:b/>
        </w:rPr>
      </w:pPr>
      <w:r w:rsidRPr="00A904BA">
        <w:rPr>
          <w:rFonts w:ascii="Times New Roman" w:eastAsia="Times New Roman" w:hAnsi="Times New Roman" w:cs="Times New Roman"/>
          <w:b/>
          <w:bCs/>
          <w:lang w:eastAsia="es-ES"/>
        </w:rPr>
        <w:t>Solicita pronunciamiento sobre alcance del artículo 26, inciso primero, Ley N° 16.271, en el pago de saldos insolutos que deben efectuar las Cajas de Previsión</w:t>
      </w:r>
      <w:r w:rsidR="00DB233D" w:rsidRPr="00A904BA">
        <w:rPr>
          <w:rFonts w:ascii="Times New Roman" w:eastAsia="Times New Roman" w:hAnsi="Times New Roman" w:cs="Times New Roman"/>
          <w:b/>
          <w:bCs/>
          <w:lang w:eastAsia="es-ES"/>
        </w:rPr>
        <w:t>.</w:t>
      </w:r>
      <w:r w:rsidR="00DB233D" w:rsidRPr="00A904BA">
        <w:rPr>
          <w:rFonts w:ascii="Times New Roman" w:hAnsi="Times New Roman" w:cs="Times New Roman"/>
          <w:b/>
          <w:bCs/>
        </w:rPr>
        <w:t xml:space="preserve"> </w:t>
      </w:r>
    </w:p>
    <w:p w:rsidR="009E49F2" w:rsidRDefault="00E33207" w:rsidP="00A47B70">
      <w:pPr>
        <w:spacing w:line="240" w:lineRule="auto"/>
        <w:jc w:val="both"/>
        <w:rPr>
          <w:rFonts w:ascii="Times New Roman" w:eastAsia="Times New Roman" w:hAnsi="Times New Roman" w:cs="Times New Roman"/>
          <w:bCs/>
          <w:lang w:eastAsia="es-ES"/>
        </w:rPr>
      </w:pPr>
      <w:r w:rsidRPr="00876BF7">
        <w:rPr>
          <w:rFonts w:ascii="Times New Roman" w:hAnsi="Times New Roman" w:cs="Times New Roman"/>
        </w:rPr>
        <w:t xml:space="preserve">Se ha </w:t>
      </w:r>
      <w:r w:rsidR="00BF01AE" w:rsidRPr="00876BF7">
        <w:rPr>
          <w:rFonts w:ascii="Times New Roman" w:hAnsi="Times New Roman" w:cs="Times New Roman"/>
        </w:rPr>
        <w:t xml:space="preserve">solicitado a este Servicio un pronunciamiento </w:t>
      </w:r>
      <w:r w:rsidR="00BF01AE" w:rsidRPr="00876BF7">
        <w:rPr>
          <w:rFonts w:ascii="Times New Roman" w:eastAsia="Times New Roman" w:hAnsi="Times New Roman" w:cs="Times New Roman"/>
          <w:bCs/>
          <w:lang w:eastAsia="es-ES"/>
        </w:rPr>
        <w:t xml:space="preserve">sobre el alcance del artículo 26, inciso primero, de la Ley N° 16.271, </w:t>
      </w:r>
      <w:r w:rsidR="00BF01AE" w:rsidRPr="00876BF7">
        <w:rPr>
          <w:rFonts w:ascii="Times New Roman" w:hAnsi="Times New Roman" w:cs="Times New Roman"/>
          <w:bCs/>
        </w:rPr>
        <w:t xml:space="preserve">sobre Impuesto a las Herencias, Asignaciones y Donaciones, en el caso de </w:t>
      </w:r>
      <w:r w:rsidR="00BF01AE" w:rsidRPr="00876BF7">
        <w:rPr>
          <w:rFonts w:ascii="Times New Roman" w:eastAsia="Times New Roman" w:hAnsi="Times New Roman" w:cs="Times New Roman"/>
          <w:bCs/>
          <w:lang w:eastAsia="es-ES"/>
        </w:rPr>
        <w:t>pagarse saldos insolutos por</w:t>
      </w:r>
      <w:r w:rsidR="008E3D0D" w:rsidRPr="00876BF7">
        <w:rPr>
          <w:rFonts w:ascii="Times New Roman" w:eastAsia="Times New Roman" w:hAnsi="Times New Roman" w:cs="Times New Roman"/>
          <w:bCs/>
          <w:lang w:eastAsia="es-ES"/>
        </w:rPr>
        <w:t xml:space="preserve"> parte de</w:t>
      </w:r>
      <w:r w:rsidR="00BF01AE" w:rsidRPr="00876BF7">
        <w:rPr>
          <w:rFonts w:ascii="Times New Roman" w:eastAsia="Times New Roman" w:hAnsi="Times New Roman" w:cs="Times New Roman"/>
          <w:bCs/>
          <w:lang w:eastAsia="es-ES"/>
        </w:rPr>
        <w:t xml:space="preserve"> las Cajas de Previsión.</w:t>
      </w:r>
    </w:p>
    <w:p w:rsidR="00164C08" w:rsidRPr="00876BF7" w:rsidRDefault="00164C08" w:rsidP="00A47B70">
      <w:pPr>
        <w:spacing w:line="240" w:lineRule="auto"/>
        <w:jc w:val="both"/>
        <w:rPr>
          <w:rFonts w:ascii="Times New Roman" w:hAnsi="Times New Roman" w:cs="Times New Roman"/>
        </w:rPr>
      </w:pPr>
    </w:p>
    <w:p w:rsidR="008F4965" w:rsidRPr="00876BF7" w:rsidRDefault="00E24E66" w:rsidP="00E24E66">
      <w:pPr>
        <w:spacing w:after="160" w:line="240" w:lineRule="auto"/>
        <w:jc w:val="both"/>
        <w:rPr>
          <w:rFonts w:ascii="Times New Roman" w:hAnsi="Times New Roman" w:cs="Times New Roman"/>
          <w:b/>
        </w:rPr>
      </w:pPr>
      <w:r w:rsidRPr="00876BF7">
        <w:rPr>
          <w:rFonts w:ascii="Times New Roman" w:hAnsi="Times New Roman" w:cs="Times New Roman"/>
          <w:b/>
        </w:rPr>
        <w:t>I</w:t>
      </w:r>
      <w:r w:rsidRPr="00876BF7">
        <w:rPr>
          <w:rFonts w:ascii="Times New Roman" w:hAnsi="Times New Roman" w:cs="Times New Roman"/>
          <w:b/>
        </w:rPr>
        <w:tab/>
      </w:r>
      <w:r w:rsidR="008F4965" w:rsidRPr="00876BF7">
        <w:rPr>
          <w:rFonts w:ascii="Times New Roman" w:hAnsi="Times New Roman" w:cs="Times New Roman"/>
          <w:b/>
        </w:rPr>
        <w:t>ANTECEDENTES</w:t>
      </w:r>
    </w:p>
    <w:p w:rsidR="008E3D0D" w:rsidRPr="00876BF7" w:rsidRDefault="0040101C" w:rsidP="008E3D0D">
      <w:pPr>
        <w:spacing w:line="240" w:lineRule="auto"/>
        <w:jc w:val="both"/>
        <w:rPr>
          <w:rFonts w:ascii="Times New Roman" w:hAnsi="Times New Roman" w:cs="Times New Roman"/>
        </w:rPr>
      </w:pPr>
      <w:r w:rsidRPr="00876BF7">
        <w:rPr>
          <w:rFonts w:ascii="Times New Roman" w:hAnsi="Times New Roman" w:cs="Times New Roman"/>
        </w:rPr>
        <w:t>De acuerdo a la exposición efectuada en el Ordinario del antecedente</w:t>
      </w:r>
      <w:r w:rsidR="008E3D0D" w:rsidRPr="00876BF7">
        <w:rPr>
          <w:rFonts w:ascii="Times New Roman" w:hAnsi="Times New Roman" w:cs="Times New Roman"/>
        </w:rPr>
        <w:t xml:space="preserve"> e</w:t>
      </w:r>
      <w:r w:rsidRPr="00876BF7">
        <w:rPr>
          <w:rFonts w:ascii="Times New Roman" w:hAnsi="Times New Roman" w:cs="Times New Roman"/>
        </w:rPr>
        <w:t>l artículo 2</w:t>
      </w:r>
      <w:r w:rsidR="008E3D0D" w:rsidRPr="00876BF7">
        <w:rPr>
          <w:rFonts w:ascii="Times New Roman" w:hAnsi="Times New Roman" w:cs="Times New Roman"/>
        </w:rPr>
        <w:t xml:space="preserve">6, inciso primero, de la Ley </w:t>
      </w:r>
      <w:r w:rsidRPr="00876BF7">
        <w:rPr>
          <w:rFonts w:ascii="Times New Roman" w:eastAsia="Times New Roman" w:hAnsi="Times New Roman" w:cs="Times New Roman"/>
          <w:bCs/>
          <w:lang w:eastAsia="es-ES"/>
        </w:rPr>
        <w:t>N° 16.271, dispone que “l</w:t>
      </w:r>
      <w:r w:rsidRPr="00876BF7">
        <w:rPr>
          <w:rFonts w:ascii="Times New Roman" w:hAnsi="Times New Roman" w:cs="Times New Roman"/>
        </w:rPr>
        <w:t>o expuesto en el artículo precedente no regirá para el cónyuge, ni para los padres e hijos cuando deban percibir, de las Cajas de Previsión o de los empleados</w:t>
      </w:r>
      <w:r w:rsidR="008E3D0D" w:rsidRPr="00876BF7">
        <w:rPr>
          <w:rFonts w:ascii="Times New Roman" w:hAnsi="Times New Roman" w:cs="Times New Roman"/>
        </w:rPr>
        <w:t xml:space="preserve"> </w:t>
      </w:r>
      <w:r w:rsidRPr="00876BF7">
        <w:rPr>
          <w:rFonts w:ascii="Times New Roman" w:hAnsi="Times New Roman" w:cs="Times New Roman"/>
        </w:rPr>
        <w:t>(sic) o patrones, de acuerdo con las leyes o contratos de trabajo, sumas no superiores a cinco unidades tributarias anuales</w:t>
      </w:r>
      <w:r w:rsidR="003743EA" w:rsidRPr="00876BF7">
        <w:rPr>
          <w:rFonts w:ascii="Times New Roman" w:hAnsi="Times New Roman" w:cs="Times New Roman"/>
        </w:rPr>
        <w:t>.</w:t>
      </w:r>
      <w:r w:rsidRPr="00876BF7">
        <w:rPr>
          <w:rFonts w:ascii="Times New Roman" w:hAnsi="Times New Roman" w:cs="Times New Roman"/>
        </w:rPr>
        <w:t>”</w:t>
      </w:r>
    </w:p>
    <w:p w:rsidR="00E2065C" w:rsidRPr="00876BF7" w:rsidRDefault="0040101C" w:rsidP="00E2065C">
      <w:pPr>
        <w:spacing w:line="240" w:lineRule="auto"/>
        <w:jc w:val="both"/>
        <w:rPr>
          <w:rFonts w:ascii="Times New Roman" w:hAnsi="Times New Roman" w:cs="Times New Roman"/>
        </w:rPr>
      </w:pPr>
      <w:r w:rsidRPr="00876BF7">
        <w:rPr>
          <w:rFonts w:ascii="Times New Roman" w:hAnsi="Times New Roman" w:cs="Times New Roman"/>
        </w:rPr>
        <w:t>A su turno, el artículo precedente (artículo 25), dispone que, “para los efectos de esta ley el heredero no podrá disponer de los bienes de la herencia, sin que previamente se haya inscrito la resolución que da la posesión efectiva de la herencia, sin perjuicio de lo dispuesto en el artículo 688 del Código Civil.”</w:t>
      </w:r>
    </w:p>
    <w:p w:rsidR="00E2065C" w:rsidRPr="00876BF7" w:rsidRDefault="0040101C" w:rsidP="00E2065C">
      <w:pPr>
        <w:spacing w:line="240" w:lineRule="auto"/>
        <w:jc w:val="both"/>
        <w:rPr>
          <w:rFonts w:ascii="Times New Roman" w:hAnsi="Times New Roman" w:cs="Times New Roman"/>
        </w:rPr>
      </w:pPr>
      <w:r w:rsidRPr="00876BF7">
        <w:rPr>
          <w:rFonts w:ascii="Times New Roman" w:eastAsia="Times New Roman" w:hAnsi="Times New Roman" w:cs="Times New Roman"/>
          <w:bCs/>
          <w:lang w:eastAsia="es-ES"/>
        </w:rPr>
        <w:t xml:space="preserve">Por lo tanto, el inciso primero del artículo 26 citado permite, en lo que interesa, que las Cajas de Previsión paguen a ciertas personas </w:t>
      </w:r>
      <w:r w:rsidRPr="00876BF7">
        <w:rPr>
          <w:rFonts w:ascii="Times New Roman" w:hAnsi="Times New Roman" w:cs="Times New Roman"/>
        </w:rPr>
        <w:t xml:space="preserve">una suma no superior a cinco unidades tributarias anuales, sin necesidad cumplir previamente con el trámite de inscripción la posesión efectiva de la herencia. </w:t>
      </w:r>
    </w:p>
    <w:p w:rsidR="00E2065C" w:rsidRPr="00876BF7" w:rsidRDefault="0040101C" w:rsidP="00E2065C">
      <w:pPr>
        <w:spacing w:line="240" w:lineRule="auto"/>
        <w:jc w:val="both"/>
        <w:rPr>
          <w:rFonts w:ascii="Times New Roman" w:hAnsi="Times New Roman" w:cs="Times New Roman"/>
        </w:rPr>
      </w:pPr>
      <w:r w:rsidRPr="00876BF7">
        <w:rPr>
          <w:rFonts w:ascii="Times New Roman" w:hAnsi="Times New Roman" w:cs="Times New Roman"/>
        </w:rPr>
        <w:t xml:space="preserve">Al respecto, ha surgido la duda sobre cómo se aplica </w:t>
      </w:r>
      <w:r w:rsidR="00B52D56" w:rsidRPr="00876BF7">
        <w:rPr>
          <w:rFonts w:ascii="Times New Roman" w:hAnsi="Times New Roman" w:cs="Times New Roman"/>
        </w:rPr>
        <w:t>la suma</w:t>
      </w:r>
      <w:r w:rsidRPr="00876BF7">
        <w:rPr>
          <w:rFonts w:ascii="Times New Roman" w:hAnsi="Times New Roman" w:cs="Times New Roman"/>
        </w:rPr>
        <w:t xml:space="preserve"> de cinco unidades tributarias anuales; esto es, si </w:t>
      </w:r>
      <w:r w:rsidR="00B52D56" w:rsidRPr="00876BF7">
        <w:rPr>
          <w:rFonts w:ascii="Times New Roman" w:hAnsi="Times New Roman" w:cs="Times New Roman"/>
        </w:rPr>
        <w:t>la</w:t>
      </w:r>
      <w:r w:rsidRPr="00876BF7">
        <w:rPr>
          <w:rFonts w:ascii="Times New Roman" w:hAnsi="Times New Roman" w:cs="Times New Roman"/>
        </w:rPr>
        <w:t xml:space="preserve"> referid</w:t>
      </w:r>
      <w:r w:rsidR="00B52D56" w:rsidRPr="00876BF7">
        <w:rPr>
          <w:rFonts w:ascii="Times New Roman" w:hAnsi="Times New Roman" w:cs="Times New Roman"/>
        </w:rPr>
        <w:t xml:space="preserve">a suma </w:t>
      </w:r>
      <w:r w:rsidRPr="00876BF7">
        <w:rPr>
          <w:rFonts w:ascii="Times New Roman" w:hAnsi="Times New Roman" w:cs="Times New Roman"/>
        </w:rPr>
        <w:t xml:space="preserve">se aplica para cada uno de los asignatarios posibles (cónyuge, padres e hijos) o, en cambio, se aplica al conjunto de los asignatarios. </w:t>
      </w:r>
    </w:p>
    <w:p w:rsidR="00E2065C" w:rsidRPr="00876BF7" w:rsidRDefault="005E2CC1" w:rsidP="00E2065C">
      <w:pPr>
        <w:spacing w:line="240" w:lineRule="auto"/>
        <w:jc w:val="both"/>
        <w:rPr>
          <w:rFonts w:ascii="Times New Roman" w:hAnsi="Times New Roman" w:cs="Times New Roman"/>
        </w:rPr>
      </w:pPr>
      <w:r w:rsidRPr="00876BF7">
        <w:rPr>
          <w:rFonts w:ascii="Times New Roman" w:hAnsi="Times New Roman" w:cs="Times New Roman"/>
        </w:rPr>
        <w:t>Sobre el particular</w:t>
      </w:r>
      <w:r w:rsidR="00B52D56" w:rsidRPr="00876BF7">
        <w:rPr>
          <w:rFonts w:ascii="Times New Roman" w:hAnsi="Times New Roman" w:cs="Times New Roman"/>
        </w:rPr>
        <w:t>,</w:t>
      </w:r>
      <w:r w:rsidRPr="00876BF7">
        <w:rPr>
          <w:rFonts w:ascii="Times New Roman" w:hAnsi="Times New Roman" w:cs="Times New Roman"/>
        </w:rPr>
        <w:t xml:space="preserve"> señala que </w:t>
      </w:r>
      <w:r w:rsidR="00BF01AE" w:rsidRPr="00876BF7">
        <w:rPr>
          <w:rFonts w:ascii="Times New Roman" w:hAnsi="Times New Roman" w:cs="Times New Roman"/>
        </w:rPr>
        <w:t>la interpretación sostenida por más de 30 años, desde antes de la fusión de las Cajas de Previsión en el año 1988</w:t>
      </w:r>
      <w:r w:rsidRPr="00876BF7">
        <w:rPr>
          <w:rFonts w:ascii="Times New Roman" w:hAnsi="Times New Roman" w:cs="Times New Roman"/>
        </w:rPr>
        <w:t>,</w:t>
      </w:r>
      <w:r w:rsidR="00BF01AE" w:rsidRPr="00876BF7">
        <w:rPr>
          <w:rFonts w:ascii="Times New Roman" w:hAnsi="Times New Roman" w:cs="Times New Roman"/>
        </w:rPr>
        <w:t xml:space="preserve"> ha sido </w:t>
      </w:r>
      <w:r w:rsidRPr="00876BF7">
        <w:rPr>
          <w:rFonts w:ascii="Times New Roman" w:hAnsi="Times New Roman" w:cs="Times New Roman"/>
        </w:rPr>
        <w:t xml:space="preserve">que el tope </w:t>
      </w:r>
      <w:r w:rsidR="00BF01AE" w:rsidRPr="00876BF7">
        <w:rPr>
          <w:rFonts w:ascii="Times New Roman" w:hAnsi="Times New Roman" w:cs="Times New Roman"/>
        </w:rPr>
        <w:t>debe determinarse respecto de cada uno de los herederos, y así se ha plasmado en los instructivos institucionales en la materia, así como en los Oficios de la División Jurídica o Fiscalía del Instituto de Previsión Social.</w:t>
      </w:r>
      <w:r w:rsidR="00D0584C" w:rsidRPr="00876BF7">
        <w:rPr>
          <w:rFonts w:ascii="Times New Roman" w:hAnsi="Times New Roman" w:cs="Times New Roman"/>
        </w:rPr>
        <w:t xml:space="preserve"> </w:t>
      </w:r>
    </w:p>
    <w:p w:rsidR="00E2065C" w:rsidRPr="00876BF7" w:rsidRDefault="00BF01AE" w:rsidP="00E2065C">
      <w:pPr>
        <w:spacing w:line="240" w:lineRule="auto"/>
        <w:jc w:val="both"/>
        <w:rPr>
          <w:rFonts w:ascii="Times New Roman" w:hAnsi="Times New Roman" w:cs="Times New Roman"/>
        </w:rPr>
      </w:pPr>
      <w:r w:rsidRPr="00876BF7">
        <w:rPr>
          <w:rFonts w:ascii="Times New Roman" w:hAnsi="Times New Roman" w:cs="Times New Roman"/>
        </w:rPr>
        <w:t xml:space="preserve">Agrega que </w:t>
      </w:r>
      <w:r w:rsidR="005E2CC1" w:rsidRPr="00876BF7">
        <w:rPr>
          <w:rFonts w:ascii="Times New Roman" w:hAnsi="Times New Roman" w:cs="Times New Roman"/>
        </w:rPr>
        <w:t xml:space="preserve">el propósito de excluir </w:t>
      </w:r>
      <w:r w:rsidR="00B52D56" w:rsidRPr="00876BF7">
        <w:rPr>
          <w:rFonts w:ascii="Times New Roman" w:hAnsi="Times New Roman" w:cs="Times New Roman"/>
        </w:rPr>
        <w:t>d</w:t>
      </w:r>
      <w:r w:rsidR="005E2CC1" w:rsidRPr="00876BF7">
        <w:rPr>
          <w:rFonts w:ascii="Times New Roman" w:hAnsi="Times New Roman" w:cs="Times New Roman"/>
        </w:rPr>
        <w:t>e</w:t>
      </w:r>
      <w:r w:rsidRPr="00876BF7">
        <w:rPr>
          <w:rFonts w:ascii="Times New Roman" w:hAnsi="Times New Roman" w:cs="Times New Roman"/>
        </w:rPr>
        <w:t xml:space="preserve">l trámite de posesión efectiva </w:t>
      </w:r>
      <w:r w:rsidR="00B52D56" w:rsidRPr="00876BF7">
        <w:rPr>
          <w:rFonts w:ascii="Times New Roman" w:hAnsi="Times New Roman" w:cs="Times New Roman"/>
        </w:rPr>
        <w:t>a</w:t>
      </w:r>
      <w:r w:rsidR="005E2CC1" w:rsidRPr="00876BF7">
        <w:rPr>
          <w:rFonts w:ascii="Times New Roman" w:hAnsi="Times New Roman" w:cs="Times New Roman"/>
        </w:rPr>
        <w:t xml:space="preserve"> los </w:t>
      </w:r>
      <w:r w:rsidRPr="00876BF7">
        <w:rPr>
          <w:rFonts w:ascii="Times New Roman" w:hAnsi="Times New Roman" w:cs="Times New Roman"/>
        </w:rPr>
        <w:t>parientes más próximos de</w:t>
      </w:r>
      <w:r w:rsidR="005E2CC1" w:rsidRPr="00876BF7">
        <w:rPr>
          <w:rFonts w:ascii="Times New Roman" w:hAnsi="Times New Roman" w:cs="Times New Roman"/>
        </w:rPr>
        <w:t xml:space="preserve">l </w:t>
      </w:r>
      <w:r w:rsidRPr="00876BF7">
        <w:rPr>
          <w:rFonts w:ascii="Times New Roman" w:hAnsi="Times New Roman" w:cs="Times New Roman"/>
        </w:rPr>
        <w:t xml:space="preserve">causante, que presumiblemente dependían de él para subsistir, </w:t>
      </w:r>
      <w:r w:rsidR="00B52D56" w:rsidRPr="00876BF7">
        <w:rPr>
          <w:rFonts w:ascii="Times New Roman" w:hAnsi="Times New Roman" w:cs="Times New Roman"/>
        </w:rPr>
        <w:t>es que dichas personas reciban</w:t>
      </w:r>
      <w:r w:rsidRPr="00876BF7">
        <w:rPr>
          <w:rFonts w:ascii="Times New Roman" w:hAnsi="Times New Roman" w:cs="Times New Roman"/>
        </w:rPr>
        <w:t xml:space="preserve"> de las Cajas de Previsión las sumas más necesarias para su sobrevivencia, sin mayor dilación. </w:t>
      </w:r>
    </w:p>
    <w:p w:rsidR="00E2065C" w:rsidRPr="00876BF7" w:rsidRDefault="00B52D56" w:rsidP="00E2065C">
      <w:pPr>
        <w:spacing w:line="240" w:lineRule="auto"/>
        <w:jc w:val="both"/>
        <w:rPr>
          <w:rFonts w:ascii="Times New Roman" w:hAnsi="Times New Roman" w:cs="Times New Roman"/>
        </w:rPr>
      </w:pPr>
      <w:r w:rsidRPr="00876BF7">
        <w:rPr>
          <w:rFonts w:ascii="Times New Roman" w:hAnsi="Times New Roman" w:cs="Times New Roman"/>
        </w:rPr>
        <w:t xml:space="preserve">Precisa </w:t>
      </w:r>
      <w:r w:rsidR="00BF01AE" w:rsidRPr="00876BF7">
        <w:rPr>
          <w:rFonts w:ascii="Times New Roman" w:hAnsi="Times New Roman" w:cs="Times New Roman"/>
        </w:rPr>
        <w:t>que</w:t>
      </w:r>
      <w:r w:rsidRPr="00876BF7">
        <w:rPr>
          <w:rFonts w:ascii="Times New Roman" w:hAnsi="Times New Roman" w:cs="Times New Roman"/>
        </w:rPr>
        <w:t>,</w:t>
      </w:r>
      <w:r w:rsidR="00BF01AE" w:rsidRPr="00876BF7">
        <w:rPr>
          <w:rFonts w:ascii="Times New Roman" w:hAnsi="Times New Roman" w:cs="Times New Roman"/>
        </w:rPr>
        <w:t xml:space="preserve"> exista o no la obligación del trámite de posesión efectiva, ese Instituto siempre </w:t>
      </w:r>
      <w:r w:rsidRPr="00876BF7">
        <w:rPr>
          <w:rFonts w:ascii="Times New Roman" w:hAnsi="Times New Roman" w:cs="Times New Roman"/>
        </w:rPr>
        <w:t xml:space="preserve">se ve </w:t>
      </w:r>
      <w:r w:rsidR="00BF01AE" w:rsidRPr="00876BF7">
        <w:rPr>
          <w:rFonts w:ascii="Times New Roman" w:hAnsi="Times New Roman" w:cs="Times New Roman"/>
        </w:rPr>
        <w:t xml:space="preserve">impedido de pagar a cada uno de ellos su parte por no poder realizar particiones de bienes, debiendo pagar a la totalidad de la sucesión o aun mandatario designado por ésta. No obstante este hecho no impide realizar una determinación de la parte o alícuota que pudiere corresponder al cónyuge, padres e hijos que solicitan las sumas que dejó sin cobrar un beneficiario de dicho Instituto, con </w:t>
      </w:r>
      <w:r w:rsidRPr="00876BF7">
        <w:rPr>
          <w:rFonts w:ascii="Times New Roman" w:hAnsi="Times New Roman" w:cs="Times New Roman"/>
        </w:rPr>
        <w:t>el sólo efectos de determinar si</w:t>
      </w:r>
      <w:r w:rsidR="00BF01AE" w:rsidRPr="00876BF7">
        <w:rPr>
          <w:rFonts w:ascii="Times New Roman" w:hAnsi="Times New Roman" w:cs="Times New Roman"/>
        </w:rPr>
        <w:t xml:space="preserve"> es o no necesaria la posesión efectiva.</w:t>
      </w:r>
    </w:p>
    <w:p w:rsidR="00BF01AE" w:rsidRDefault="00BF01AE" w:rsidP="00E2065C">
      <w:pPr>
        <w:spacing w:line="240" w:lineRule="auto"/>
        <w:jc w:val="both"/>
        <w:rPr>
          <w:rFonts w:ascii="Times New Roman" w:hAnsi="Times New Roman" w:cs="Times New Roman"/>
        </w:rPr>
      </w:pPr>
      <w:r w:rsidRPr="00876BF7">
        <w:rPr>
          <w:rFonts w:ascii="Times New Roman" w:hAnsi="Times New Roman" w:cs="Times New Roman"/>
        </w:rPr>
        <w:t>Finalmente expone</w:t>
      </w:r>
      <w:r w:rsidR="00D0584C" w:rsidRPr="00876BF7">
        <w:rPr>
          <w:rFonts w:ascii="Times New Roman" w:hAnsi="Times New Roman" w:cs="Times New Roman"/>
        </w:rPr>
        <w:t xml:space="preserve"> </w:t>
      </w:r>
      <w:r w:rsidRPr="00876BF7">
        <w:rPr>
          <w:rFonts w:ascii="Times New Roman" w:hAnsi="Times New Roman" w:cs="Times New Roman"/>
        </w:rPr>
        <w:t xml:space="preserve">que la circunstancia de liberar del trámite de la posesión efectiva una suma de los bienes del causante, no debería incidir en el cálculo del impuesto a la herencia </w:t>
      </w:r>
      <w:r w:rsidR="00E2065C" w:rsidRPr="00876BF7">
        <w:rPr>
          <w:rFonts w:ascii="Times New Roman" w:hAnsi="Times New Roman" w:cs="Times New Roman"/>
        </w:rPr>
        <w:t xml:space="preserve">sin perjuicio de otras consideraciones que se señalan. </w:t>
      </w:r>
    </w:p>
    <w:p w:rsidR="00164C08" w:rsidRPr="00876BF7" w:rsidRDefault="00164C08" w:rsidP="00E2065C">
      <w:pPr>
        <w:spacing w:line="240" w:lineRule="auto"/>
        <w:jc w:val="both"/>
        <w:rPr>
          <w:rFonts w:ascii="Times New Roman" w:hAnsi="Times New Roman" w:cs="Times New Roman"/>
        </w:rPr>
      </w:pPr>
    </w:p>
    <w:p w:rsidR="00EE1B10" w:rsidRPr="00876BF7" w:rsidRDefault="00E24E66" w:rsidP="00B52D56">
      <w:pPr>
        <w:spacing w:after="160" w:line="240" w:lineRule="auto"/>
        <w:jc w:val="both"/>
        <w:rPr>
          <w:rFonts w:ascii="Times New Roman" w:hAnsi="Times New Roman" w:cs="Times New Roman"/>
          <w:b/>
        </w:rPr>
      </w:pPr>
      <w:r w:rsidRPr="00876BF7">
        <w:rPr>
          <w:rFonts w:ascii="Times New Roman" w:hAnsi="Times New Roman" w:cs="Times New Roman"/>
          <w:b/>
        </w:rPr>
        <w:t>II</w:t>
      </w:r>
      <w:r w:rsidRPr="00876BF7">
        <w:rPr>
          <w:rFonts w:ascii="Times New Roman" w:hAnsi="Times New Roman" w:cs="Times New Roman"/>
          <w:b/>
        </w:rPr>
        <w:tab/>
      </w:r>
      <w:r w:rsidR="00EE1B10" w:rsidRPr="00876BF7">
        <w:rPr>
          <w:rFonts w:ascii="Times New Roman" w:hAnsi="Times New Roman" w:cs="Times New Roman"/>
          <w:b/>
        </w:rPr>
        <w:t>ANÁLISIS</w:t>
      </w:r>
    </w:p>
    <w:p w:rsidR="00E2065C" w:rsidRPr="00876BF7" w:rsidRDefault="00B52D56" w:rsidP="00E2065C">
      <w:pPr>
        <w:spacing w:line="240" w:lineRule="auto"/>
        <w:jc w:val="both"/>
        <w:rPr>
          <w:rFonts w:ascii="Times New Roman" w:hAnsi="Times New Roman" w:cs="Times New Roman"/>
        </w:rPr>
      </w:pPr>
      <w:r w:rsidRPr="00876BF7">
        <w:rPr>
          <w:rFonts w:ascii="Times New Roman" w:eastAsia="Times New Roman" w:hAnsi="Times New Roman" w:cs="Times New Roman"/>
          <w:bCs/>
          <w:lang w:eastAsia="es-ES"/>
        </w:rPr>
        <w:t xml:space="preserve">De acuerdo al artículo 26, inciso primero, de la Ley N° 16.271, no </w:t>
      </w:r>
      <w:r w:rsidR="00E2065C" w:rsidRPr="00876BF7">
        <w:rPr>
          <w:rFonts w:ascii="Times New Roman" w:eastAsia="Times New Roman" w:hAnsi="Times New Roman" w:cs="Times New Roman"/>
          <w:bCs/>
          <w:lang w:eastAsia="es-ES"/>
        </w:rPr>
        <w:t>rige el trámite previo de posesión efectiva “</w:t>
      </w:r>
      <w:r w:rsidR="00E2065C" w:rsidRPr="00876BF7">
        <w:rPr>
          <w:rFonts w:ascii="Times New Roman" w:hAnsi="Times New Roman" w:cs="Times New Roman"/>
        </w:rPr>
        <w:t>para el cónyuge, ni para los padres e hijos cuando deban percibir, de las Cajas de Previsión o de los empleados (sic) o patrones, de acuerdo con las leyes o contratos de trabajo, sumas no superiores a cinco unidades tributarias anuales.”</w:t>
      </w:r>
    </w:p>
    <w:p w:rsidR="00673870" w:rsidRPr="00876BF7" w:rsidRDefault="00AD059C" w:rsidP="00E2065C">
      <w:pPr>
        <w:spacing w:line="240" w:lineRule="auto"/>
        <w:jc w:val="both"/>
        <w:rPr>
          <w:rFonts w:ascii="Times New Roman" w:hAnsi="Times New Roman" w:cs="Times New Roman"/>
        </w:rPr>
      </w:pPr>
      <w:r w:rsidRPr="00876BF7">
        <w:rPr>
          <w:rFonts w:ascii="Times New Roman" w:hAnsi="Times New Roman" w:cs="Times New Roman"/>
        </w:rPr>
        <w:lastRenderedPageBreak/>
        <w:t xml:space="preserve">Conforme lo anterior, si bien se trata de una norma de carácter tributario cuya interpretación administrativa corresponde a este Servicio, </w:t>
      </w:r>
      <w:r w:rsidR="00E2065C" w:rsidRPr="00876BF7">
        <w:rPr>
          <w:rFonts w:ascii="Times New Roman" w:hAnsi="Times New Roman" w:cs="Times New Roman"/>
        </w:rPr>
        <w:t xml:space="preserve">en principio, </w:t>
      </w:r>
      <w:r w:rsidRPr="00876BF7">
        <w:rPr>
          <w:rFonts w:ascii="Times New Roman" w:hAnsi="Times New Roman" w:cs="Times New Roman"/>
        </w:rPr>
        <w:t xml:space="preserve">las sumas </w:t>
      </w:r>
      <w:r w:rsidR="00E2065C" w:rsidRPr="00876BF7">
        <w:rPr>
          <w:rFonts w:ascii="Times New Roman" w:hAnsi="Times New Roman" w:cs="Times New Roman"/>
        </w:rPr>
        <w:t>que ciertas</w:t>
      </w:r>
      <w:r w:rsidRPr="00876BF7">
        <w:rPr>
          <w:rFonts w:ascii="Times New Roman" w:hAnsi="Times New Roman" w:cs="Times New Roman"/>
        </w:rPr>
        <w:t xml:space="preserve"> personas “deban percibir” de parte de las Cajas de Previsión</w:t>
      </w:r>
      <w:r w:rsidR="00E2065C" w:rsidRPr="00876BF7">
        <w:rPr>
          <w:rFonts w:ascii="Times New Roman" w:hAnsi="Times New Roman" w:cs="Times New Roman"/>
        </w:rPr>
        <w:t xml:space="preserve">, </w:t>
      </w:r>
      <w:r w:rsidRPr="00876BF7">
        <w:rPr>
          <w:rFonts w:ascii="Times New Roman" w:hAnsi="Times New Roman" w:cs="Times New Roman"/>
        </w:rPr>
        <w:t>debe</w:t>
      </w:r>
      <w:r w:rsidR="00E2065C" w:rsidRPr="00876BF7">
        <w:rPr>
          <w:rFonts w:ascii="Times New Roman" w:hAnsi="Times New Roman" w:cs="Times New Roman"/>
        </w:rPr>
        <w:t>n</w:t>
      </w:r>
      <w:r w:rsidRPr="00876BF7">
        <w:rPr>
          <w:rFonts w:ascii="Times New Roman" w:hAnsi="Times New Roman" w:cs="Times New Roman"/>
        </w:rPr>
        <w:t xml:space="preserve"> </w:t>
      </w:r>
      <w:r w:rsidR="00E2065C" w:rsidRPr="00876BF7">
        <w:rPr>
          <w:rFonts w:ascii="Times New Roman" w:hAnsi="Times New Roman" w:cs="Times New Roman"/>
        </w:rPr>
        <w:t xml:space="preserve">pagarse </w:t>
      </w:r>
      <w:r w:rsidRPr="00876BF7">
        <w:rPr>
          <w:rFonts w:ascii="Times New Roman" w:hAnsi="Times New Roman" w:cs="Times New Roman"/>
        </w:rPr>
        <w:t>“de acuerdo con las leyes</w:t>
      </w:r>
      <w:r w:rsidR="00814801" w:rsidRPr="00876BF7">
        <w:rPr>
          <w:rFonts w:ascii="Times New Roman" w:hAnsi="Times New Roman" w:cs="Times New Roman"/>
        </w:rPr>
        <w:t>”</w:t>
      </w:r>
      <w:r w:rsidRPr="00876BF7">
        <w:rPr>
          <w:rFonts w:ascii="Times New Roman" w:hAnsi="Times New Roman" w:cs="Times New Roman"/>
        </w:rPr>
        <w:t xml:space="preserve">. </w:t>
      </w:r>
    </w:p>
    <w:p w:rsidR="00673870" w:rsidRPr="00876BF7" w:rsidRDefault="00AD059C" w:rsidP="00673870">
      <w:pPr>
        <w:spacing w:before="240" w:line="240" w:lineRule="auto"/>
        <w:jc w:val="both"/>
        <w:rPr>
          <w:rFonts w:ascii="Times New Roman" w:hAnsi="Times New Roman" w:cs="Times New Roman"/>
        </w:rPr>
      </w:pPr>
      <w:r w:rsidRPr="00876BF7">
        <w:rPr>
          <w:rFonts w:ascii="Times New Roman" w:hAnsi="Times New Roman" w:cs="Times New Roman"/>
        </w:rPr>
        <w:t xml:space="preserve">Al respecto, </w:t>
      </w:r>
      <w:r w:rsidR="00814801" w:rsidRPr="00876BF7">
        <w:rPr>
          <w:rFonts w:ascii="Times New Roman" w:hAnsi="Times New Roman" w:cs="Times New Roman"/>
        </w:rPr>
        <w:t xml:space="preserve">cabe señalar que, conforme </w:t>
      </w:r>
      <w:r w:rsidR="00673870" w:rsidRPr="00876BF7">
        <w:rPr>
          <w:rFonts w:ascii="Times New Roman" w:hAnsi="Times New Roman" w:cs="Times New Roman"/>
        </w:rPr>
        <w:t>al artículo 55 N° 6 de la Ley N° 20.255, que establece reforma previsional, corresponde al Instituto de Previsión Social, entre otras funciones y atribuciones, a</w:t>
      </w:r>
      <w:r w:rsidR="00814801" w:rsidRPr="00876BF7">
        <w:rPr>
          <w:rFonts w:ascii="Times New Roman" w:hAnsi="Times New Roman" w:cs="Times New Roman"/>
        </w:rPr>
        <w:t xml:space="preserve">dministrar los regímenes previsionales de las </w:t>
      </w:r>
      <w:r w:rsidR="00D0584C" w:rsidRPr="00876BF7">
        <w:rPr>
          <w:rFonts w:ascii="Times New Roman" w:hAnsi="Times New Roman" w:cs="Times New Roman"/>
        </w:rPr>
        <w:t>Cajas de Previsión</w:t>
      </w:r>
      <w:r w:rsidR="00814801" w:rsidRPr="00876BF7">
        <w:rPr>
          <w:rFonts w:ascii="Times New Roman" w:hAnsi="Times New Roman" w:cs="Times New Roman"/>
        </w:rPr>
        <w:t xml:space="preserve"> y del Servicio de Seguro Social como continuador legal del Instituto de Normalización Previsional, como asimismo, los demás beneficios que dicho Instituto otorga, con excepción </w:t>
      </w:r>
      <w:r w:rsidR="00D87ED3" w:rsidRPr="00876BF7">
        <w:rPr>
          <w:rFonts w:ascii="Times New Roman" w:hAnsi="Times New Roman" w:cs="Times New Roman"/>
        </w:rPr>
        <w:t>de aquellos contemplados en la L</w:t>
      </w:r>
      <w:r w:rsidR="00814801" w:rsidRPr="00876BF7">
        <w:rPr>
          <w:rFonts w:ascii="Times New Roman" w:hAnsi="Times New Roman" w:cs="Times New Roman"/>
        </w:rPr>
        <w:t>ey N°</w:t>
      </w:r>
      <w:r w:rsidR="00673870" w:rsidRPr="00876BF7">
        <w:rPr>
          <w:rFonts w:ascii="Times New Roman" w:hAnsi="Times New Roman" w:cs="Times New Roman"/>
        </w:rPr>
        <w:t xml:space="preserve"> </w:t>
      </w:r>
      <w:r w:rsidR="00814801" w:rsidRPr="00876BF7">
        <w:rPr>
          <w:rFonts w:ascii="Times New Roman" w:hAnsi="Times New Roman" w:cs="Times New Roman"/>
        </w:rPr>
        <w:t>16.744.</w:t>
      </w:r>
    </w:p>
    <w:p w:rsidR="00673870" w:rsidRPr="00876BF7" w:rsidRDefault="00673870" w:rsidP="00673870">
      <w:pPr>
        <w:spacing w:before="240" w:line="240" w:lineRule="auto"/>
        <w:jc w:val="both"/>
        <w:rPr>
          <w:rFonts w:ascii="Times New Roman" w:hAnsi="Times New Roman" w:cs="Times New Roman"/>
        </w:rPr>
      </w:pPr>
      <w:r w:rsidRPr="00876BF7">
        <w:rPr>
          <w:rFonts w:ascii="Times New Roman" w:hAnsi="Times New Roman" w:cs="Times New Roman"/>
        </w:rPr>
        <w:t xml:space="preserve">Lo anterior, sin perjuicio que, conforme al artículo 47 de la citada Ley N° 20.255, corresponda a la Superintendencia de Pensiones, entre otras funciones y atribuciones, fiscalizar al Instituto de Previsión Social respecto de los regímenes de prestaciones de las </w:t>
      </w:r>
      <w:r w:rsidR="00D0584C" w:rsidRPr="00876BF7">
        <w:rPr>
          <w:rFonts w:ascii="Times New Roman" w:hAnsi="Times New Roman" w:cs="Times New Roman"/>
        </w:rPr>
        <w:t>Cajas de Previsión</w:t>
      </w:r>
      <w:r w:rsidRPr="00876BF7">
        <w:rPr>
          <w:rFonts w:ascii="Times New Roman" w:hAnsi="Times New Roman" w:cs="Times New Roman"/>
        </w:rPr>
        <w:t xml:space="preserve"> y del Servicio de Seguro Social, que éste administre, con excepción de aquellas</w:t>
      </w:r>
      <w:r w:rsidR="00D87ED3" w:rsidRPr="00876BF7">
        <w:rPr>
          <w:rFonts w:ascii="Times New Roman" w:hAnsi="Times New Roman" w:cs="Times New Roman"/>
        </w:rPr>
        <w:t xml:space="preserve"> referidas a la L</w:t>
      </w:r>
      <w:r w:rsidR="00E2065C" w:rsidRPr="00876BF7">
        <w:rPr>
          <w:rFonts w:ascii="Times New Roman" w:hAnsi="Times New Roman" w:cs="Times New Roman"/>
        </w:rPr>
        <w:t>ey N° 16.744 (N° 3); e</w:t>
      </w:r>
      <w:r w:rsidRPr="00876BF7">
        <w:rPr>
          <w:rFonts w:ascii="Times New Roman" w:hAnsi="Times New Roman" w:cs="Times New Roman"/>
        </w:rPr>
        <w:t>, interpretar administrativamente en materias de su competencia las leyes, reglamentos y demás normas que rigen a las pe</w:t>
      </w:r>
      <w:r w:rsidR="00E2065C" w:rsidRPr="00876BF7">
        <w:rPr>
          <w:rFonts w:ascii="Times New Roman" w:hAnsi="Times New Roman" w:cs="Times New Roman"/>
        </w:rPr>
        <w:t>rsonas o entidades fiscalizadas (N° 7).</w:t>
      </w:r>
    </w:p>
    <w:p w:rsidR="000766CB" w:rsidRPr="00876BF7" w:rsidRDefault="000766CB" w:rsidP="000766CB">
      <w:pPr>
        <w:spacing w:before="240" w:line="240" w:lineRule="auto"/>
        <w:jc w:val="both"/>
        <w:rPr>
          <w:rFonts w:ascii="Times New Roman" w:hAnsi="Times New Roman" w:cs="Times New Roman"/>
        </w:rPr>
      </w:pPr>
      <w:r w:rsidRPr="00876BF7">
        <w:rPr>
          <w:rFonts w:ascii="Times New Roman" w:hAnsi="Times New Roman" w:cs="Times New Roman"/>
        </w:rPr>
        <w:t xml:space="preserve">Por lo tanto, corresponde a las instituciones señaladas, en el ámbito de sus respectivas competencias, determinar qué sumas deben percibir, </w:t>
      </w:r>
      <w:r w:rsidR="00E2065C" w:rsidRPr="00876BF7">
        <w:rPr>
          <w:rFonts w:ascii="Times New Roman" w:hAnsi="Times New Roman" w:cs="Times New Roman"/>
        </w:rPr>
        <w:t>“</w:t>
      </w:r>
      <w:r w:rsidRPr="00876BF7">
        <w:rPr>
          <w:rFonts w:ascii="Times New Roman" w:hAnsi="Times New Roman" w:cs="Times New Roman"/>
        </w:rPr>
        <w:t>de acuerdo a las leyes</w:t>
      </w:r>
      <w:r w:rsidR="00E2065C" w:rsidRPr="00876BF7">
        <w:rPr>
          <w:rFonts w:ascii="Times New Roman" w:hAnsi="Times New Roman" w:cs="Times New Roman"/>
        </w:rPr>
        <w:t>”</w:t>
      </w:r>
      <w:r w:rsidRPr="00876BF7">
        <w:rPr>
          <w:rFonts w:ascii="Times New Roman" w:hAnsi="Times New Roman" w:cs="Times New Roman"/>
        </w:rPr>
        <w:t xml:space="preserve">, el cónyuge, los padres e hijos del causante, de parte de las </w:t>
      </w:r>
      <w:r w:rsidR="00D0584C" w:rsidRPr="00876BF7">
        <w:rPr>
          <w:rFonts w:ascii="Times New Roman" w:hAnsi="Times New Roman" w:cs="Times New Roman"/>
        </w:rPr>
        <w:t>Cajas de Previsión</w:t>
      </w:r>
      <w:r w:rsidRPr="00876BF7">
        <w:rPr>
          <w:rFonts w:ascii="Times New Roman" w:hAnsi="Times New Roman" w:cs="Times New Roman"/>
        </w:rPr>
        <w:t xml:space="preserve"> que administran o fiscalizan.</w:t>
      </w:r>
    </w:p>
    <w:p w:rsidR="000766CB" w:rsidRPr="00876BF7" w:rsidRDefault="00E2065C" w:rsidP="000766CB">
      <w:pPr>
        <w:spacing w:before="240" w:line="240" w:lineRule="auto"/>
        <w:jc w:val="both"/>
        <w:rPr>
          <w:rFonts w:ascii="Times New Roman" w:hAnsi="Times New Roman" w:cs="Times New Roman"/>
        </w:rPr>
      </w:pPr>
      <w:r w:rsidRPr="00876BF7">
        <w:rPr>
          <w:rFonts w:ascii="Times New Roman" w:hAnsi="Times New Roman" w:cs="Times New Roman"/>
        </w:rPr>
        <w:t>Luego</w:t>
      </w:r>
      <w:r w:rsidR="000766CB" w:rsidRPr="00876BF7">
        <w:rPr>
          <w:rFonts w:ascii="Times New Roman" w:hAnsi="Times New Roman" w:cs="Times New Roman"/>
        </w:rPr>
        <w:t xml:space="preserve">, si la interpretación histórica del Instituto de Previsión Social, plasmada en instructivos institucionales y Oficios de la División Jurídica o Fiscalía del Instituto de Previsión Social, ha sido que la suma de cinco unidades tributarias anuales se aplique respecto de cada uno de los asignatarios posibles (cónyuge, padres e hijos), y no respecto del conjunto de esas personas, este Servicio no ve inconveniente en mantener ese criterio, especialmente considerando el carácter asistencialista o de subsistencia que reviste dicha suma para los beneficiarios. </w:t>
      </w:r>
    </w:p>
    <w:p w:rsidR="009D18A8" w:rsidRPr="00876BF7" w:rsidRDefault="009D18A8" w:rsidP="000766CB">
      <w:pPr>
        <w:spacing w:before="240" w:line="240" w:lineRule="auto"/>
        <w:jc w:val="both"/>
        <w:rPr>
          <w:rFonts w:ascii="Times New Roman" w:hAnsi="Times New Roman" w:cs="Times New Roman"/>
        </w:rPr>
      </w:pPr>
      <w:r w:rsidRPr="00876BF7">
        <w:rPr>
          <w:rFonts w:ascii="Times New Roman" w:hAnsi="Times New Roman" w:cs="Times New Roman"/>
        </w:rPr>
        <w:t xml:space="preserve">Por otra parte, la interpretación anterior es armónica con lo señalado por este Servicio a propósito del inciso tercero del mismo artículo 26 de la Ley N° 16.271. Dicho precepto dispone que, fallecido uno de los titulares de una cuenta bipersonal, </w:t>
      </w:r>
      <w:r w:rsidR="003743EA" w:rsidRPr="00876BF7">
        <w:rPr>
          <w:rFonts w:ascii="Times New Roman" w:hAnsi="Times New Roman" w:cs="Times New Roman"/>
        </w:rPr>
        <w:t xml:space="preserve">el saldo de la misma – tras descontar cierta suma – </w:t>
      </w:r>
      <w:r w:rsidRPr="00876BF7">
        <w:rPr>
          <w:rFonts w:ascii="Times New Roman" w:hAnsi="Times New Roman" w:cs="Times New Roman"/>
        </w:rPr>
        <w:t xml:space="preserve">pertenecerá </w:t>
      </w:r>
      <w:r w:rsidR="003743EA" w:rsidRPr="00876BF7">
        <w:rPr>
          <w:rFonts w:ascii="Times New Roman" w:hAnsi="Times New Roman" w:cs="Times New Roman"/>
        </w:rPr>
        <w:t>“</w:t>
      </w:r>
      <w:r w:rsidRPr="00876BF7">
        <w:rPr>
          <w:rFonts w:ascii="Times New Roman" w:hAnsi="Times New Roman" w:cs="Times New Roman"/>
        </w:rPr>
        <w:t>por iguales partes al otro depositante y a los herederos del fallecido</w:t>
      </w:r>
      <w:r w:rsidR="003743EA" w:rsidRPr="00876BF7">
        <w:rPr>
          <w:rFonts w:ascii="Times New Roman" w:hAnsi="Times New Roman" w:cs="Times New Roman"/>
        </w:rPr>
        <w:t>”, interpretando este Servicio que “el saldo se divide en dos partes iguales: un 50% del saldo pertenece exclusivamente al titular o depositante sobreviviente y el otro 50% del saldo al conjunto de los herederos, cualquiera sea su número” porque, “de haber pretendido distribuir el saldo equitativamente “entre todos” los concurrentes (titular sobreviviente y herederos) por iguales partes, lo hubiera dispuesto expresamente o con otras expresiones análogas que impliquen repartir el saldo por el número total de concurrentes, sin distinción.”</w:t>
      </w:r>
      <w:r w:rsidR="00E2065C" w:rsidRPr="00876BF7">
        <w:rPr>
          <w:rStyle w:val="Refdenotaalpie"/>
          <w:rFonts w:ascii="Times New Roman" w:hAnsi="Times New Roman" w:cs="Times New Roman"/>
        </w:rPr>
        <w:footnoteReference w:id="1"/>
      </w:r>
    </w:p>
    <w:p w:rsidR="00164C08" w:rsidRDefault="003743EA" w:rsidP="000766CB">
      <w:pPr>
        <w:spacing w:before="240" w:line="240" w:lineRule="auto"/>
        <w:jc w:val="both"/>
        <w:rPr>
          <w:rFonts w:ascii="Times New Roman" w:hAnsi="Times New Roman" w:cs="Times New Roman"/>
        </w:rPr>
      </w:pPr>
      <w:r w:rsidRPr="00876BF7">
        <w:rPr>
          <w:rFonts w:ascii="Times New Roman" w:hAnsi="Times New Roman" w:cs="Times New Roman"/>
        </w:rPr>
        <w:t xml:space="preserve">Pues bien, a diferencia del caso anterior, tratándose del </w:t>
      </w:r>
      <w:r w:rsidR="00E2065C" w:rsidRPr="00876BF7">
        <w:rPr>
          <w:rFonts w:ascii="Times New Roman" w:hAnsi="Times New Roman" w:cs="Times New Roman"/>
        </w:rPr>
        <w:t xml:space="preserve">inciso primero del </w:t>
      </w:r>
      <w:r w:rsidRPr="00876BF7">
        <w:rPr>
          <w:rFonts w:ascii="Times New Roman" w:hAnsi="Times New Roman" w:cs="Times New Roman"/>
        </w:rPr>
        <w:t xml:space="preserve">artículo 26, </w:t>
      </w:r>
      <w:r w:rsidR="00E2065C" w:rsidRPr="00876BF7">
        <w:rPr>
          <w:rFonts w:ascii="Times New Roman" w:hAnsi="Times New Roman" w:cs="Times New Roman"/>
        </w:rPr>
        <w:t>en comento</w:t>
      </w:r>
      <w:r w:rsidRPr="00876BF7">
        <w:rPr>
          <w:rFonts w:ascii="Times New Roman" w:hAnsi="Times New Roman" w:cs="Times New Roman"/>
        </w:rPr>
        <w:t>, el legislador ha señalado expresamente que el trámite previo de posesión efectiva no rija (nominativamente) “para el cónyuge, ni para los padres e hijos” cuando</w:t>
      </w:r>
      <w:r w:rsidR="00E2065C" w:rsidRPr="00876BF7">
        <w:rPr>
          <w:rFonts w:ascii="Times New Roman" w:hAnsi="Times New Roman" w:cs="Times New Roman"/>
        </w:rPr>
        <w:t xml:space="preserve">, “de acuerdo con las leyes”, </w:t>
      </w:r>
      <w:r w:rsidRPr="00876BF7">
        <w:rPr>
          <w:rFonts w:ascii="Times New Roman" w:hAnsi="Times New Roman" w:cs="Times New Roman"/>
        </w:rPr>
        <w:t>deban percibir de las Cajas de Previsión</w:t>
      </w:r>
      <w:r w:rsidR="00E2065C" w:rsidRPr="00876BF7">
        <w:rPr>
          <w:rFonts w:ascii="Times New Roman" w:hAnsi="Times New Roman" w:cs="Times New Roman"/>
        </w:rPr>
        <w:t xml:space="preserve"> </w:t>
      </w:r>
      <w:r w:rsidRPr="00876BF7">
        <w:rPr>
          <w:rFonts w:ascii="Times New Roman" w:hAnsi="Times New Roman" w:cs="Times New Roman"/>
        </w:rPr>
        <w:t>sumas no superiores a cinco unidades tributarias anuales.</w:t>
      </w:r>
    </w:p>
    <w:p w:rsidR="003743EA" w:rsidRPr="00876BF7" w:rsidRDefault="003743EA" w:rsidP="000766CB">
      <w:pPr>
        <w:spacing w:before="240" w:line="240" w:lineRule="auto"/>
        <w:jc w:val="both"/>
        <w:rPr>
          <w:rFonts w:ascii="Times New Roman" w:hAnsi="Times New Roman" w:cs="Times New Roman"/>
        </w:rPr>
      </w:pPr>
      <w:r w:rsidRPr="00876BF7">
        <w:rPr>
          <w:rFonts w:ascii="Times New Roman" w:hAnsi="Times New Roman" w:cs="Times New Roman"/>
        </w:rPr>
        <w:t xml:space="preserve"> </w:t>
      </w:r>
    </w:p>
    <w:p w:rsidR="008C401A" w:rsidRPr="00876BF7" w:rsidRDefault="00AA700B" w:rsidP="00AA700B">
      <w:pPr>
        <w:spacing w:after="160" w:line="240" w:lineRule="auto"/>
        <w:jc w:val="both"/>
        <w:rPr>
          <w:rFonts w:ascii="Times New Roman" w:hAnsi="Times New Roman" w:cs="Times New Roman"/>
          <w:b/>
        </w:rPr>
      </w:pPr>
      <w:r w:rsidRPr="00876BF7">
        <w:rPr>
          <w:rFonts w:ascii="Times New Roman" w:hAnsi="Times New Roman" w:cs="Times New Roman"/>
          <w:b/>
        </w:rPr>
        <w:t>III</w:t>
      </w:r>
      <w:r w:rsidRPr="00876BF7">
        <w:rPr>
          <w:rFonts w:ascii="Times New Roman" w:hAnsi="Times New Roman" w:cs="Times New Roman"/>
          <w:b/>
        </w:rPr>
        <w:tab/>
      </w:r>
      <w:r w:rsidR="007177CE" w:rsidRPr="00876BF7">
        <w:rPr>
          <w:rFonts w:ascii="Times New Roman" w:hAnsi="Times New Roman" w:cs="Times New Roman"/>
          <w:b/>
        </w:rPr>
        <w:t>CONCLUSIÓN</w:t>
      </w:r>
    </w:p>
    <w:p w:rsidR="00764AAB" w:rsidRPr="00876BF7" w:rsidRDefault="00483018" w:rsidP="00FA63F6">
      <w:pPr>
        <w:spacing w:line="240" w:lineRule="auto"/>
        <w:jc w:val="both"/>
        <w:rPr>
          <w:rFonts w:ascii="Times New Roman" w:hAnsi="Times New Roman" w:cs="Times New Roman"/>
        </w:rPr>
      </w:pPr>
      <w:r w:rsidRPr="00876BF7">
        <w:rPr>
          <w:rFonts w:ascii="Times New Roman" w:hAnsi="Times New Roman" w:cs="Times New Roman"/>
        </w:rPr>
        <w:t>Conforme a</w:t>
      </w:r>
      <w:r w:rsidR="006F68D7" w:rsidRPr="00876BF7">
        <w:rPr>
          <w:rFonts w:ascii="Times New Roman" w:hAnsi="Times New Roman" w:cs="Times New Roman"/>
        </w:rPr>
        <w:t xml:space="preserve"> lo expuesto </w:t>
      </w:r>
      <w:r w:rsidR="003743EA" w:rsidRPr="00876BF7">
        <w:rPr>
          <w:rFonts w:ascii="Times New Roman" w:hAnsi="Times New Roman" w:cs="Times New Roman"/>
        </w:rPr>
        <w:t>se informa que</w:t>
      </w:r>
      <w:r w:rsidR="00764AAB" w:rsidRPr="00876BF7">
        <w:rPr>
          <w:rFonts w:ascii="Times New Roman" w:hAnsi="Times New Roman" w:cs="Times New Roman"/>
        </w:rPr>
        <w:t xml:space="preserve">: </w:t>
      </w:r>
    </w:p>
    <w:p w:rsidR="003743EA" w:rsidRPr="00876BF7" w:rsidRDefault="00764AAB" w:rsidP="00952751">
      <w:pPr>
        <w:pStyle w:val="Prrafodelista"/>
        <w:numPr>
          <w:ilvl w:val="0"/>
          <w:numId w:val="3"/>
        </w:numPr>
        <w:spacing w:line="240" w:lineRule="auto"/>
        <w:ind w:left="357" w:hanging="357"/>
        <w:contextualSpacing w:val="0"/>
        <w:jc w:val="both"/>
        <w:rPr>
          <w:rFonts w:ascii="Times New Roman" w:hAnsi="Times New Roman" w:cs="Times New Roman"/>
        </w:rPr>
      </w:pPr>
      <w:r w:rsidRPr="00876BF7">
        <w:rPr>
          <w:rFonts w:ascii="Times New Roman" w:hAnsi="Times New Roman" w:cs="Times New Roman"/>
        </w:rPr>
        <w:t xml:space="preserve">Si bien el artículo </w:t>
      </w:r>
      <w:r w:rsidR="003743EA" w:rsidRPr="00876BF7">
        <w:rPr>
          <w:rFonts w:ascii="Times New Roman" w:hAnsi="Times New Roman" w:cs="Times New Roman"/>
        </w:rPr>
        <w:t xml:space="preserve">26, inciso primero, de la Ley N° 16.271, es una norma tributaria, </w:t>
      </w:r>
      <w:r w:rsidR="00D0584C" w:rsidRPr="00876BF7">
        <w:rPr>
          <w:rFonts w:ascii="Times New Roman" w:hAnsi="Times New Roman" w:cs="Times New Roman"/>
        </w:rPr>
        <w:t xml:space="preserve">no </w:t>
      </w:r>
      <w:r w:rsidR="003743EA" w:rsidRPr="00876BF7">
        <w:rPr>
          <w:rFonts w:ascii="Times New Roman" w:hAnsi="Times New Roman" w:cs="Times New Roman"/>
        </w:rPr>
        <w:t xml:space="preserve">corresponde a </w:t>
      </w:r>
      <w:r w:rsidR="00D0584C" w:rsidRPr="00876BF7">
        <w:rPr>
          <w:rFonts w:ascii="Times New Roman" w:hAnsi="Times New Roman" w:cs="Times New Roman"/>
        </w:rPr>
        <w:t>este Servicio</w:t>
      </w:r>
      <w:r w:rsidR="003743EA" w:rsidRPr="00876BF7">
        <w:rPr>
          <w:rFonts w:ascii="Times New Roman" w:hAnsi="Times New Roman" w:cs="Times New Roman"/>
        </w:rPr>
        <w:t xml:space="preserve"> determinar qué sumas “deban percibir” ciertas personas de parte de las Cajas de Previsión “de acuerdo con las leyes”. </w:t>
      </w:r>
    </w:p>
    <w:p w:rsidR="00764AAB" w:rsidRDefault="003743EA" w:rsidP="00764AAB">
      <w:pPr>
        <w:pStyle w:val="Prrafodelista"/>
        <w:numPr>
          <w:ilvl w:val="0"/>
          <w:numId w:val="3"/>
        </w:numPr>
        <w:spacing w:line="240" w:lineRule="auto"/>
        <w:ind w:left="357" w:hanging="357"/>
        <w:contextualSpacing w:val="0"/>
        <w:jc w:val="both"/>
        <w:rPr>
          <w:rFonts w:ascii="Times New Roman" w:hAnsi="Times New Roman" w:cs="Times New Roman"/>
        </w:rPr>
      </w:pPr>
      <w:r w:rsidRPr="00876BF7">
        <w:rPr>
          <w:rFonts w:ascii="Times New Roman" w:hAnsi="Times New Roman" w:cs="Times New Roman"/>
        </w:rPr>
        <w:t xml:space="preserve">Luego, si la interpretación histórica del Instituto de Previsión Social, plasmada en documentos oficiales, ha sido que la suma de cinco unidades tributarias anuales a que se refiere el </w:t>
      </w:r>
      <w:r w:rsidR="00E2065C" w:rsidRPr="00876BF7">
        <w:rPr>
          <w:rFonts w:ascii="Times New Roman" w:hAnsi="Times New Roman" w:cs="Times New Roman"/>
        </w:rPr>
        <w:t xml:space="preserve">inciso primero del </w:t>
      </w:r>
      <w:r w:rsidRPr="00876BF7">
        <w:rPr>
          <w:rFonts w:ascii="Times New Roman" w:hAnsi="Times New Roman" w:cs="Times New Roman"/>
        </w:rPr>
        <w:t>artí</w:t>
      </w:r>
      <w:r w:rsidR="00E2065C" w:rsidRPr="00876BF7">
        <w:rPr>
          <w:rFonts w:ascii="Times New Roman" w:hAnsi="Times New Roman" w:cs="Times New Roman"/>
        </w:rPr>
        <w:t>culo 26, citado,</w:t>
      </w:r>
      <w:r w:rsidRPr="00876BF7">
        <w:rPr>
          <w:rFonts w:ascii="Times New Roman" w:hAnsi="Times New Roman" w:cs="Times New Roman"/>
        </w:rPr>
        <w:t xml:space="preserve"> </w:t>
      </w:r>
      <w:r w:rsidR="00D0584C" w:rsidRPr="00876BF7">
        <w:rPr>
          <w:rFonts w:ascii="Times New Roman" w:hAnsi="Times New Roman" w:cs="Times New Roman"/>
        </w:rPr>
        <w:t>se aplica</w:t>
      </w:r>
      <w:r w:rsidRPr="00876BF7">
        <w:rPr>
          <w:rFonts w:ascii="Times New Roman" w:hAnsi="Times New Roman" w:cs="Times New Roman"/>
        </w:rPr>
        <w:t xml:space="preserve"> respecto de cada uno de los asignatarios posibles (cónyuge, padres e hijos), y no respecto del conjunto de esas personas, este Servicio no ve inconveniente en mantener ese criterio, especialmente considerando el carácter que reviste dicha suma para los beneficiarios.</w:t>
      </w:r>
    </w:p>
    <w:p w:rsidR="001F084C" w:rsidRPr="00876BF7" w:rsidRDefault="00764AAB" w:rsidP="00084E33">
      <w:pPr>
        <w:pStyle w:val="Prrafodelista"/>
        <w:numPr>
          <w:ilvl w:val="0"/>
          <w:numId w:val="3"/>
        </w:numPr>
        <w:spacing w:line="240" w:lineRule="auto"/>
        <w:ind w:left="357" w:hanging="357"/>
        <w:contextualSpacing w:val="0"/>
        <w:jc w:val="both"/>
        <w:rPr>
          <w:rFonts w:ascii="Times New Roman" w:hAnsi="Times New Roman" w:cs="Times New Roman"/>
        </w:rPr>
      </w:pPr>
      <w:r w:rsidRPr="00876BF7">
        <w:rPr>
          <w:rFonts w:ascii="Times New Roman" w:hAnsi="Times New Roman" w:cs="Times New Roman"/>
        </w:rPr>
        <w:lastRenderedPageBreak/>
        <w:t xml:space="preserve">Sin perjuicio de lo anterior, </w:t>
      </w:r>
      <w:r w:rsidR="001F084C" w:rsidRPr="00876BF7">
        <w:rPr>
          <w:rFonts w:ascii="Times New Roman" w:hAnsi="Times New Roman" w:cs="Times New Roman"/>
        </w:rPr>
        <w:t xml:space="preserve">este Servicio estima que dicha interpretación además </w:t>
      </w:r>
      <w:r w:rsidR="00D0584C" w:rsidRPr="00876BF7">
        <w:rPr>
          <w:rFonts w:ascii="Times New Roman" w:hAnsi="Times New Roman" w:cs="Times New Roman"/>
        </w:rPr>
        <w:t>sería</w:t>
      </w:r>
      <w:r w:rsidR="001F084C" w:rsidRPr="00876BF7">
        <w:rPr>
          <w:rFonts w:ascii="Times New Roman" w:hAnsi="Times New Roman" w:cs="Times New Roman"/>
        </w:rPr>
        <w:t xml:space="preserve"> </w:t>
      </w:r>
      <w:r w:rsidR="00D0584C" w:rsidRPr="00876BF7">
        <w:rPr>
          <w:rFonts w:ascii="Times New Roman" w:hAnsi="Times New Roman" w:cs="Times New Roman"/>
        </w:rPr>
        <w:t>consistente</w:t>
      </w:r>
      <w:r w:rsidR="001F084C" w:rsidRPr="00876BF7">
        <w:rPr>
          <w:rFonts w:ascii="Times New Roman" w:hAnsi="Times New Roman" w:cs="Times New Roman"/>
        </w:rPr>
        <w:t xml:space="preserve"> con lo dispuesto en el </w:t>
      </w:r>
      <w:r w:rsidR="003743EA" w:rsidRPr="00876BF7">
        <w:rPr>
          <w:rFonts w:ascii="Times New Roman" w:hAnsi="Times New Roman" w:cs="Times New Roman"/>
        </w:rPr>
        <w:t xml:space="preserve">artículo 26, inciso </w:t>
      </w:r>
      <w:r w:rsidR="001F084C" w:rsidRPr="00876BF7">
        <w:rPr>
          <w:rFonts w:ascii="Times New Roman" w:hAnsi="Times New Roman" w:cs="Times New Roman"/>
        </w:rPr>
        <w:t>tercero</w:t>
      </w:r>
      <w:r w:rsidR="003743EA" w:rsidRPr="00876BF7">
        <w:rPr>
          <w:rFonts w:ascii="Times New Roman" w:hAnsi="Times New Roman" w:cs="Times New Roman"/>
        </w:rPr>
        <w:t>, de la Ley N° 16.271</w:t>
      </w:r>
      <w:r w:rsidR="001F084C" w:rsidRPr="00876BF7">
        <w:rPr>
          <w:rFonts w:ascii="Times New Roman" w:hAnsi="Times New Roman" w:cs="Times New Roman"/>
        </w:rPr>
        <w:t xml:space="preserve">, que ordena distribuir ciertas </w:t>
      </w:r>
      <w:r w:rsidR="00D0584C" w:rsidRPr="00876BF7">
        <w:rPr>
          <w:rFonts w:ascii="Times New Roman" w:hAnsi="Times New Roman" w:cs="Times New Roman"/>
        </w:rPr>
        <w:t xml:space="preserve">sumas </w:t>
      </w:r>
      <w:r w:rsidR="001F084C" w:rsidRPr="00876BF7">
        <w:rPr>
          <w:rFonts w:ascii="Times New Roman" w:hAnsi="Times New Roman" w:cs="Times New Roman"/>
        </w:rPr>
        <w:t>en dos partes iguales</w:t>
      </w:r>
      <w:r w:rsidR="00D0584C" w:rsidRPr="00876BF7">
        <w:rPr>
          <w:rFonts w:ascii="Times New Roman" w:hAnsi="Times New Roman" w:cs="Times New Roman"/>
        </w:rPr>
        <w:t xml:space="preserve"> </w:t>
      </w:r>
      <w:r w:rsidR="00E2065C" w:rsidRPr="00876BF7">
        <w:rPr>
          <w:rFonts w:ascii="Times New Roman" w:hAnsi="Times New Roman" w:cs="Times New Roman"/>
        </w:rPr>
        <w:t>“</w:t>
      </w:r>
      <w:r w:rsidR="00D0584C" w:rsidRPr="00876BF7">
        <w:rPr>
          <w:rFonts w:ascii="Times New Roman" w:hAnsi="Times New Roman" w:cs="Times New Roman"/>
        </w:rPr>
        <w:t>al otro depositante y a los herederos del fallecido</w:t>
      </w:r>
      <w:r w:rsidR="00E2065C" w:rsidRPr="00876BF7">
        <w:rPr>
          <w:rFonts w:ascii="Times New Roman" w:hAnsi="Times New Roman" w:cs="Times New Roman"/>
        </w:rPr>
        <w:t>”</w:t>
      </w:r>
      <w:r w:rsidR="00D0584C" w:rsidRPr="00876BF7">
        <w:rPr>
          <w:rFonts w:ascii="Times New Roman" w:hAnsi="Times New Roman" w:cs="Times New Roman"/>
        </w:rPr>
        <w:t xml:space="preserve">, entendiéndose estos últimos como el </w:t>
      </w:r>
      <w:r w:rsidR="001F084C" w:rsidRPr="00876BF7">
        <w:rPr>
          <w:rFonts w:ascii="Times New Roman" w:hAnsi="Times New Roman" w:cs="Times New Roman"/>
        </w:rPr>
        <w:t>conjunto de los herederos, cualquiera sea su número</w:t>
      </w:r>
      <w:r w:rsidR="00D0584C" w:rsidRPr="00876BF7">
        <w:rPr>
          <w:rFonts w:ascii="Times New Roman" w:hAnsi="Times New Roman" w:cs="Times New Roman"/>
        </w:rPr>
        <w:t xml:space="preserve">. </w:t>
      </w:r>
    </w:p>
    <w:p w:rsidR="00D0584C" w:rsidRPr="00876BF7" w:rsidRDefault="00D0584C" w:rsidP="00D0584C">
      <w:pPr>
        <w:pStyle w:val="Prrafodelista"/>
        <w:spacing w:line="240" w:lineRule="auto"/>
        <w:ind w:left="357"/>
        <w:contextualSpacing w:val="0"/>
        <w:jc w:val="both"/>
        <w:rPr>
          <w:rFonts w:ascii="Times New Roman" w:hAnsi="Times New Roman" w:cs="Times New Roman"/>
        </w:rPr>
      </w:pPr>
      <w:r w:rsidRPr="00876BF7">
        <w:rPr>
          <w:rFonts w:ascii="Times New Roman" w:hAnsi="Times New Roman" w:cs="Times New Roman"/>
        </w:rPr>
        <w:t xml:space="preserve">En cambio, el inciso primero del mismo artículo 26 en comento permite a las Cajas de Previsión pagar ciertas sumas que se deban, nominativamente, para el cónyuge, para los padres e hijos, de acuerdo con las leyes. </w:t>
      </w:r>
    </w:p>
    <w:p w:rsidR="008858EB" w:rsidRPr="00876BF7" w:rsidRDefault="008858EB" w:rsidP="001F084C">
      <w:pPr>
        <w:spacing w:line="240" w:lineRule="auto"/>
        <w:jc w:val="both"/>
        <w:rPr>
          <w:rFonts w:ascii="Times New Roman" w:hAnsi="Times New Roman" w:cs="Times New Roman"/>
        </w:rPr>
      </w:pPr>
    </w:p>
    <w:p w:rsidR="00213423" w:rsidRPr="00876BF7" w:rsidRDefault="00213423" w:rsidP="00483018">
      <w:pPr>
        <w:pStyle w:val="Sinespaciado"/>
        <w:ind w:left="4956"/>
        <w:jc w:val="center"/>
        <w:rPr>
          <w:rFonts w:ascii="Times New Roman" w:hAnsi="Times New Roman" w:cs="Times New Roman"/>
          <w:b/>
        </w:rPr>
      </w:pPr>
    </w:p>
    <w:p w:rsidR="003B67BF" w:rsidRPr="00876BF7" w:rsidRDefault="003B67BF" w:rsidP="00483018">
      <w:pPr>
        <w:pStyle w:val="Sinespaciado"/>
        <w:ind w:left="4956"/>
        <w:jc w:val="center"/>
        <w:rPr>
          <w:rFonts w:ascii="Times New Roman" w:hAnsi="Times New Roman" w:cs="Times New Roman"/>
          <w:b/>
        </w:rPr>
      </w:pPr>
    </w:p>
    <w:p w:rsidR="00D0584C" w:rsidRPr="00876BF7" w:rsidRDefault="00D0584C" w:rsidP="00483018">
      <w:pPr>
        <w:pStyle w:val="Sinespaciado"/>
        <w:ind w:left="4956"/>
        <w:jc w:val="center"/>
        <w:rPr>
          <w:rFonts w:ascii="Times New Roman" w:hAnsi="Times New Roman" w:cs="Times New Roman"/>
          <w:b/>
        </w:rPr>
      </w:pPr>
    </w:p>
    <w:p w:rsidR="003B67BF" w:rsidRPr="00876BF7" w:rsidRDefault="003B67BF" w:rsidP="00483018">
      <w:pPr>
        <w:pStyle w:val="Sinespaciado"/>
        <w:ind w:left="4956"/>
        <w:jc w:val="center"/>
        <w:rPr>
          <w:rFonts w:ascii="Times New Roman" w:hAnsi="Times New Roman" w:cs="Times New Roman"/>
          <w:b/>
        </w:rPr>
      </w:pPr>
    </w:p>
    <w:p w:rsidR="00E2065C" w:rsidRPr="00876BF7" w:rsidRDefault="00E2065C" w:rsidP="00483018">
      <w:pPr>
        <w:pStyle w:val="Sinespaciado"/>
        <w:ind w:left="4956"/>
        <w:jc w:val="center"/>
        <w:rPr>
          <w:rFonts w:ascii="Times New Roman" w:hAnsi="Times New Roman" w:cs="Times New Roman"/>
          <w:b/>
        </w:rPr>
      </w:pPr>
    </w:p>
    <w:p w:rsidR="00E2065C" w:rsidRPr="00876BF7" w:rsidRDefault="00E2065C" w:rsidP="00483018">
      <w:pPr>
        <w:pStyle w:val="Sinespaciado"/>
        <w:ind w:left="4956"/>
        <w:jc w:val="center"/>
        <w:rPr>
          <w:rFonts w:ascii="Times New Roman" w:hAnsi="Times New Roman" w:cs="Times New Roman"/>
          <w:b/>
        </w:rPr>
      </w:pPr>
    </w:p>
    <w:p w:rsidR="003B67BF" w:rsidRPr="00876BF7" w:rsidRDefault="003B67BF" w:rsidP="00483018">
      <w:pPr>
        <w:pStyle w:val="Sinespaciado"/>
        <w:ind w:left="4956"/>
        <w:jc w:val="center"/>
        <w:rPr>
          <w:rFonts w:ascii="Times New Roman" w:hAnsi="Times New Roman" w:cs="Times New Roman"/>
          <w:b/>
        </w:rPr>
      </w:pPr>
    </w:p>
    <w:p w:rsidR="008858EB" w:rsidRPr="00876BF7" w:rsidRDefault="00D35EE4" w:rsidP="00483018">
      <w:pPr>
        <w:pStyle w:val="Sinespaciado"/>
        <w:ind w:left="4956"/>
        <w:jc w:val="center"/>
        <w:rPr>
          <w:rFonts w:ascii="Times New Roman" w:hAnsi="Times New Roman" w:cs="Times New Roman"/>
          <w:b/>
        </w:rPr>
      </w:pPr>
      <w:r w:rsidRPr="00876BF7">
        <w:rPr>
          <w:rFonts w:ascii="Times New Roman" w:hAnsi="Times New Roman" w:cs="Times New Roman"/>
          <w:b/>
        </w:rPr>
        <w:t>FERNANDO</w:t>
      </w:r>
      <w:r w:rsidR="00B01D84" w:rsidRPr="00876BF7">
        <w:rPr>
          <w:rFonts w:ascii="Times New Roman" w:hAnsi="Times New Roman" w:cs="Times New Roman"/>
          <w:b/>
        </w:rPr>
        <w:t xml:space="preserve"> BARRAZA LUENGO</w:t>
      </w:r>
    </w:p>
    <w:p w:rsidR="008858EB" w:rsidRPr="00876BF7" w:rsidRDefault="008858EB" w:rsidP="00483018">
      <w:pPr>
        <w:pStyle w:val="Sinespaciado"/>
        <w:ind w:left="4956"/>
        <w:jc w:val="center"/>
        <w:rPr>
          <w:rFonts w:ascii="Times New Roman" w:hAnsi="Times New Roman" w:cs="Times New Roman"/>
          <w:b/>
        </w:rPr>
      </w:pPr>
      <w:r w:rsidRPr="00876BF7">
        <w:rPr>
          <w:rFonts w:ascii="Times New Roman" w:hAnsi="Times New Roman" w:cs="Times New Roman"/>
          <w:b/>
        </w:rPr>
        <w:t>DIRECTOR</w:t>
      </w:r>
    </w:p>
    <w:p w:rsidR="00E226CB" w:rsidRPr="00876BF7" w:rsidRDefault="00E226CB" w:rsidP="00E64468">
      <w:pPr>
        <w:pStyle w:val="Sinespaciado"/>
        <w:rPr>
          <w:rFonts w:ascii="Times New Roman" w:hAnsi="Times New Roman" w:cs="Times New Roman"/>
          <w:b/>
        </w:rPr>
      </w:pPr>
    </w:p>
    <w:p w:rsidR="00D0584C" w:rsidRPr="00876BF7" w:rsidRDefault="00D0584C" w:rsidP="00E64468">
      <w:pPr>
        <w:pStyle w:val="Sinespaciado"/>
        <w:rPr>
          <w:rFonts w:ascii="Times New Roman" w:hAnsi="Times New Roman" w:cs="Times New Roman"/>
          <w:b/>
        </w:rPr>
      </w:pPr>
    </w:p>
    <w:p w:rsidR="00D0584C" w:rsidRPr="00876BF7" w:rsidRDefault="00D0584C" w:rsidP="00E64468">
      <w:pPr>
        <w:pStyle w:val="Sinespaciado"/>
        <w:rPr>
          <w:rFonts w:ascii="Times New Roman" w:hAnsi="Times New Roman" w:cs="Times New Roman"/>
          <w:b/>
        </w:rPr>
      </w:pPr>
    </w:p>
    <w:p w:rsidR="00D0584C" w:rsidRPr="00876BF7" w:rsidRDefault="00D0584C" w:rsidP="00E64468">
      <w:pPr>
        <w:pStyle w:val="Sinespaciado"/>
        <w:rPr>
          <w:rFonts w:ascii="Times New Roman" w:hAnsi="Times New Roman" w:cs="Times New Roman"/>
          <w:b/>
        </w:rPr>
      </w:pPr>
    </w:p>
    <w:p w:rsidR="00D0584C" w:rsidRPr="00876BF7" w:rsidRDefault="00D0584C" w:rsidP="00E64468">
      <w:pPr>
        <w:pStyle w:val="Sinespaciado"/>
        <w:rPr>
          <w:rFonts w:ascii="Times New Roman" w:hAnsi="Times New Roman" w:cs="Times New Roman"/>
          <w:b/>
        </w:rPr>
      </w:pPr>
    </w:p>
    <w:p w:rsidR="00E2065C" w:rsidRPr="00876BF7" w:rsidRDefault="00E2065C" w:rsidP="00E64468">
      <w:pPr>
        <w:pStyle w:val="Sinespaciado"/>
        <w:rPr>
          <w:rFonts w:ascii="Times New Roman" w:hAnsi="Times New Roman" w:cs="Times New Roman"/>
          <w:b/>
        </w:rPr>
      </w:pPr>
    </w:p>
    <w:p w:rsidR="00E2065C" w:rsidRPr="00876BF7" w:rsidRDefault="00E2065C" w:rsidP="00E64468">
      <w:pPr>
        <w:pStyle w:val="Sinespaciado"/>
        <w:rPr>
          <w:rFonts w:ascii="Times New Roman" w:hAnsi="Times New Roman" w:cs="Times New Roman"/>
          <w:b/>
        </w:rPr>
      </w:pPr>
    </w:p>
    <w:p w:rsidR="003B67BF" w:rsidRDefault="00164C08" w:rsidP="00164C08">
      <w:pPr>
        <w:pStyle w:val="Sinespaciado"/>
        <w:jc w:val="center"/>
        <w:rPr>
          <w:rFonts w:ascii="Times New Roman" w:hAnsi="Times New Roman" w:cs="Times New Roman"/>
        </w:rPr>
      </w:pPr>
      <w:r>
        <w:rPr>
          <w:rFonts w:ascii="Times New Roman" w:hAnsi="Times New Roman" w:cs="Times New Roman"/>
        </w:rPr>
        <w:t>Oficio N° 1612, de 17.07.2017</w:t>
      </w:r>
    </w:p>
    <w:p w:rsidR="00164C08" w:rsidRDefault="00164C08" w:rsidP="00164C08">
      <w:pPr>
        <w:pStyle w:val="Sinespaciado"/>
        <w:jc w:val="center"/>
        <w:rPr>
          <w:rFonts w:ascii="Times New Roman" w:hAnsi="Times New Roman" w:cs="Times New Roman"/>
          <w:b/>
        </w:rPr>
      </w:pPr>
      <w:r>
        <w:rPr>
          <w:rFonts w:ascii="Times New Roman" w:hAnsi="Times New Roman" w:cs="Times New Roman"/>
          <w:b/>
        </w:rPr>
        <w:t>Subdirección Normativa</w:t>
      </w:r>
    </w:p>
    <w:p w:rsidR="00164C08" w:rsidRPr="00164C08" w:rsidRDefault="00164C08" w:rsidP="00164C08">
      <w:pPr>
        <w:pStyle w:val="Sinespaciado"/>
        <w:jc w:val="center"/>
        <w:rPr>
          <w:rFonts w:ascii="Times New Roman" w:hAnsi="Times New Roman" w:cs="Times New Roman"/>
        </w:rPr>
      </w:pPr>
      <w:r>
        <w:rPr>
          <w:rFonts w:ascii="Times New Roman" w:hAnsi="Times New Roman" w:cs="Times New Roman"/>
        </w:rPr>
        <w:t>Dpto. de Técnica Tributaria</w:t>
      </w:r>
    </w:p>
    <w:sectPr w:rsidR="00164C08" w:rsidRPr="00164C08" w:rsidSect="00EF46AD">
      <w:headerReference w:type="default" r:id="rId8"/>
      <w:pgSz w:w="12242" w:h="18722" w:code="14"/>
      <w:pgMar w:top="1418" w:right="1752"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E89" w:rsidRDefault="00E33E89" w:rsidP="007E7F2A">
      <w:pPr>
        <w:spacing w:after="0" w:line="240" w:lineRule="auto"/>
      </w:pPr>
      <w:r>
        <w:separator/>
      </w:r>
    </w:p>
  </w:endnote>
  <w:endnote w:type="continuationSeparator" w:id="0">
    <w:p w:rsidR="00E33E89" w:rsidRDefault="00E33E89" w:rsidP="007E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E89" w:rsidRDefault="00E33E89" w:rsidP="007E7F2A">
      <w:pPr>
        <w:spacing w:after="0" w:line="240" w:lineRule="auto"/>
      </w:pPr>
      <w:r>
        <w:separator/>
      </w:r>
    </w:p>
  </w:footnote>
  <w:footnote w:type="continuationSeparator" w:id="0">
    <w:p w:rsidR="00E33E89" w:rsidRDefault="00E33E89" w:rsidP="007E7F2A">
      <w:pPr>
        <w:spacing w:after="0" w:line="240" w:lineRule="auto"/>
      </w:pPr>
      <w:r>
        <w:continuationSeparator/>
      </w:r>
    </w:p>
  </w:footnote>
  <w:footnote w:id="1">
    <w:p w:rsidR="00E2065C" w:rsidRPr="00E2065C" w:rsidRDefault="00E2065C" w:rsidP="00E2065C">
      <w:pPr>
        <w:pStyle w:val="Textonotapie"/>
        <w:jc w:val="both"/>
        <w:rPr>
          <w:rFonts w:ascii="Arial" w:hAnsi="Arial" w:cs="Arial"/>
          <w:sz w:val="16"/>
          <w:szCs w:val="16"/>
        </w:rPr>
      </w:pPr>
      <w:r w:rsidRPr="00E2065C">
        <w:rPr>
          <w:rStyle w:val="Refdenotaalpie"/>
          <w:rFonts w:ascii="Arial" w:hAnsi="Arial" w:cs="Arial"/>
          <w:sz w:val="16"/>
          <w:szCs w:val="16"/>
        </w:rPr>
        <w:footnoteRef/>
      </w:r>
      <w:r w:rsidRPr="00E2065C">
        <w:rPr>
          <w:rFonts w:ascii="Arial" w:hAnsi="Arial" w:cs="Arial"/>
          <w:sz w:val="16"/>
          <w:szCs w:val="16"/>
        </w:rPr>
        <w:t xml:space="preserve"> Oficio N° 2387 de 2015</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093479633"/>
      <w:docPartObj>
        <w:docPartGallery w:val="Page Numbers (Top of Page)"/>
        <w:docPartUnique/>
      </w:docPartObj>
    </w:sdtPr>
    <w:sdtEndPr/>
    <w:sdtContent>
      <w:p w:rsidR="00C84C63" w:rsidRPr="00F63912" w:rsidRDefault="00C84C63">
        <w:pPr>
          <w:pStyle w:val="Encabezado"/>
          <w:jc w:val="center"/>
          <w:rPr>
            <w:rFonts w:ascii="Arial" w:hAnsi="Arial" w:cs="Arial"/>
            <w:sz w:val="16"/>
            <w:szCs w:val="16"/>
          </w:rPr>
        </w:pPr>
        <w:r w:rsidRPr="00F63912">
          <w:rPr>
            <w:rFonts w:ascii="Arial" w:hAnsi="Arial" w:cs="Arial"/>
            <w:sz w:val="16"/>
            <w:szCs w:val="16"/>
          </w:rPr>
          <w:fldChar w:fldCharType="begin"/>
        </w:r>
        <w:r w:rsidRPr="00F63912">
          <w:rPr>
            <w:rFonts w:ascii="Arial" w:hAnsi="Arial" w:cs="Arial"/>
            <w:sz w:val="16"/>
            <w:szCs w:val="16"/>
          </w:rPr>
          <w:instrText>PAGE   \* MERGEFORMAT</w:instrText>
        </w:r>
        <w:r w:rsidRPr="00F63912">
          <w:rPr>
            <w:rFonts w:ascii="Arial" w:hAnsi="Arial" w:cs="Arial"/>
            <w:sz w:val="16"/>
            <w:szCs w:val="16"/>
          </w:rPr>
          <w:fldChar w:fldCharType="separate"/>
        </w:r>
        <w:r w:rsidR="00164C08" w:rsidRPr="00164C08">
          <w:rPr>
            <w:rFonts w:ascii="Arial" w:hAnsi="Arial" w:cs="Arial"/>
            <w:noProof/>
            <w:sz w:val="16"/>
            <w:szCs w:val="16"/>
            <w:lang w:val="es-ES"/>
          </w:rPr>
          <w:t>3</w:t>
        </w:r>
        <w:r w:rsidRPr="00F63912">
          <w:rPr>
            <w:rFonts w:ascii="Arial" w:hAnsi="Arial" w:cs="Arial"/>
            <w:sz w:val="16"/>
            <w:szCs w:val="16"/>
          </w:rPr>
          <w:fldChar w:fldCharType="end"/>
        </w:r>
      </w:p>
    </w:sdtContent>
  </w:sdt>
  <w:p w:rsidR="00C84C63" w:rsidRPr="00F63912" w:rsidRDefault="00C84C63">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B06E2"/>
    <w:multiLevelType w:val="hybridMultilevel"/>
    <w:tmpl w:val="7D86066A"/>
    <w:lvl w:ilvl="0" w:tplc="8E560C9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F0F15C2"/>
    <w:multiLevelType w:val="hybridMultilevel"/>
    <w:tmpl w:val="DB2CBBA6"/>
    <w:lvl w:ilvl="0" w:tplc="340A0017">
      <w:start w:val="1"/>
      <w:numFmt w:val="lowerLetter"/>
      <w:lvlText w:val="%1)"/>
      <w:lvlJc w:val="left"/>
      <w:pPr>
        <w:ind w:left="363" w:hanging="360"/>
      </w:pPr>
    </w:lvl>
    <w:lvl w:ilvl="1" w:tplc="340A0019" w:tentative="1">
      <w:start w:val="1"/>
      <w:numFmt w:val="lowerLetter"/>
      <w:lvlText w:val="%2."/>
      <w:lvlJc w:val="left"/>
      <w:pPr>
        <w:ind w:left="1083" w:hanging="360"/>
      </w:pPr>
    </w:lvl>
    <w:lvl w:ilvl="2" w:tplc="340A001B" w:tentative="1">
      <w:start w:val="1"/>
      <w:numFmt w:val="lowerRoman"/>
      <w:lvlText w:val="%3."/>
      <w:lvlJc w:val="right"/>
      <w:pPr>
        <w:ind w:left="1803" w:hanging="180"/>
      </w:pPr>
    </w:lvl>
    <w:lvl w:ilvl="3" w:tplc="340A000F" w:tentative="1">
      <w:start w:val="1"/>
      <w:numFmt w:val="decimal"/>
      <w:lvlText w:val="%4."/>
      <w:lvlJc w:val="left"/>
      <w:pPr>
        <w:ind w:left="2523" w:hanging="360"/>
      </w:pPr>
    </w:lvl>
    <w:lvl w:ilvl="4" w:tplc="340A0019" w:tentative="1">
      <w:start w:val="1"/>
      <w:numFmt w:val="lowerLetter"/>
      <w:lvlText w:val="%5."/>
      <w:lvlJc w:val="left"/>
      <w:pPr>
        <w:ind w:left="3243" w:hanging="360"/>
      </w:pPr>
    </w:lvl>
    <w:lvl w:ilvl="5" w:tplc="340A001B" w:tentative="1">
      <w:start w:val="1"/>
      <w:numFmt w:val="lowerRoman"/>
      <w:lvlText w:val="%6."/>
      <w:lvlJc w:val="right"/>
      <w:pPr>
        <w:ind w:left="3963" w:hanging="180"/>
      </w:pPr>
    </w:lvl>
    <w:lvl w:ilvl="6" w:tplc="340A000F" w:tentative="1">
      <w:start w:val="1"/>
      <w:numFmt w:val="decimal"/>
      <w:lvlText w:val="%7."/>
      <w:lvlJc w:val="left"/>
      <w:pPr>
        <w:ind w:left="4683" w:hanging="360"/>
      </w:pPr>
    </w:lvl>
    <w:lvl w:ilvl="7" w:tplc="340A0019" w:tentative="1">
      <w:start w:val="1"/>
      <w:numFmt w:val="lowerLetter"/>
      <w:lvlText w:val="%8."/>
      <w:lvlJc w:val="left"/>
      <w:pPr>
        <w:ind w:left="5403" w:hanging="360"/>
      </w:pPr>
    </w:lvl>
    <w:lvl w:ilvl="8" w:tplc="340A001B" w:tentative="1">
      <w:start w:val="1"/>
      <w:numFmt w:val="lowerRoman"/>
      <w:lvlText w:val="%9."/>
      <w:lvlJc w:val="right"/>
      <w:pPr>
        <w:ind w:left="6123" w:hanging="180"/>
      </w:pPr>
    </w:lvl>
  </w:abstractNum>
  <w:abstractNum w:abstractNumId="2">
    <w:nsid w:val="3BFC6C54"/>
    <w:multiLevelType w:val="hybridMultilevel"/>
    <w:tmpl w:val="AB8CA7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FFF2A47"/>
    <w:multiLevelType w:val="hybridMultilevel"/>
    <w:tmpl w:val="43C2FF5C"/>
    <w:lvl w:ilvl="0" w:tplc="0F4E86FC">
      <w:start w:val="1"/>
      <w:numFmt w:val="lowerRoman"/>
      <w:lvlText w:val="(%1)"/>
      <w:lvlJc w:val="left"/>
      <w:pPr>
        <w:ind w:left="108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4AE532D"/>
    <w:multiLevelType w:val="hybridMultilevel"/>
    <w:tmpl w:val="115653F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589224E"/>
    <w:multiLevelType w:val="hybridMultilevel"/>
    <w:tmpl w:val="5532B2DE"/>
    <w:lvl w:ilvl="0" w:tplc="340A0017">
      <w:start w:val="1"/>
      <w:numFmt w:val="lowerLetter"/>
      <w:lvlText w:val="%1)"/>
      <w:lvlJc w:val="left"/>
      <w:pPr>
        <w:ind w:left="6" w:hanging="360"/>
      </w:pPr>
      <w:rPr>
        <w:rFonts w:hint="default"/>
      </w:rPr>
    </w:lvl>
    <w:lvl w:ilvl="1" w:tplc="340A0019" w:tentative="1">
      <w:start w:val="1"/>
      <w:numFmt w:val="lowerLetter"/>
      <w:lvlText w:val="%2."/>
      <w:lvlJc w:val="left"/>
      <w:pPr>
        <w:ind w:left="726" w:hanging="360"/>
      </w:pPr>
    </w:lvl>
    <w:lvl w:ilvl="2" w:tplc="340A001B" w:tentative="1">
      <w:start w:val="1"/>
      <w:numFmt w:val="lowerRoman"/>
      <w:lvlText w:val="%3."/>
      <w:lvlJc w:val="right"/>
      <w:pPr>
        <w:ind w:left="1446" w:hanging="180"/>
      </w:pPr>
    </w:lvl>
    <w:lvl w:ilvl="3" w:tplc="340A000F" w:tentative="1">
      <w:start w:val="1"/>
      <w:numFmt w:val="decimal"/>
      <w:lvlText w:val="%4."/>
      <w:lvlJc w:val="left"/>
      <w:pPr>
        <w:ind w:left="2166" w:hanging="360"/>
      </w:pPr>
    </w:lvl>
    <w:lvl w:ilvl="4" w:tplc="340A0019" w:tentative="1">
      <w:start w:val="1"/>
      <w:numFmt w:val="lowerLetter"/>
      <w:lvlText w:val="%5."/>
      <w:lvlJc w:val="left"/>
      <w:pPr>
        <w:ind w:left="2886" w:hanging="360"/>
      </w:pPr>
    </w:lvl>
    <w:lvl w:ilvl="5" w:tplc="340A001B" w:tentative="1">
      <w:start w:val="1"/>
      <w:numFmt w:val="lowerRoman"/>
      <w:lvlText w:val="%6."/>
      <w:lvlJc w:val="right"/>
      <w:pPr>
        <w:ind w:left="3606" w:hanging="180"/>
      </w:pPr>
    </w:lvl>
    <w:lvl w:ilvl="6" w:tplc="340A000F" w:tentative="1">
      <w:start w:val="1"/>
      <w:numFmt w:val="decimal"/>
      <w:lvlText w:val="%7."/>
      <w:lvlJc w:val="left"/>
      <w:pPr>
        <w:ind w:left="4326" w:hanging="360"/>
      </w:pPr>
    </w:lvl>
    <w:lvl w:ilvl="7" w:tplc="340A0019" w:tentative="1">
      <w:start w:val="1"/>
      <w:numFmt w:val="lowerLetter"/>
      <w:lvlText w:val="%8."/>
      <w:lvlJc w:val="left"/>
      <w:pPr>
        <w:ind w:left="5046" w:hanging="360"/>
      </w:pPr>
    </w:lvl>
    <w:lvl w:ilvl="8" w:tplc="340A001B" w:tentative="1">
      <w:start w:val="1"/>
      <w:numFmt w:val="lowerRoman"/>
      <w:lvlText w:val="%9."/>
      <w:lvlJc w:val="right"/>
      <w:pPr>
        <w:ind w:left="5766" w:hanging="180"/>
      </w:pPr>
    </w:lvl>
  </w:abstractNum>
  <w:abstractNum w:abstractNumId="6">
    <w:nsid w:val="619E33D6"/>
    <w:multiLevelType w:val="hybridMultilevel"/>
    <w:tmpl w:val="DE34F6BC"/>
    <w:lvl w:ilvl="0" w:tplc="21EEFE7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8687809"/>
    <w:multiLevelType w:val="hybridMultilevel"/>
    <w:tmpl w:val="E1308FEA"/>
    <w:lvl w:ilvl="0" w:tplc="A8203F76">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789661CB"/>
    <w:multiLevelType w:val="hybridMultilevel"/>
    <w:tmpl w:val="4B8826C8"/>
    <w:lvl w:ilvl="0" w:tplc="340A0017">
      <w:start w:val="1"/>
      <w:numFmt w:val="lowerLetter"/>
      <w:lvlText w:val="%1)"/>
      <w:lvlJc w:val="left"/>
      <w:pPr>
        <w:ind w:left="360" w:hanging="360"/>
      </w:pPr>
      <w:rPr>
        <w:rFonts w:hint="default"/>
      </w:rPr>
    </w:lvl>
    <w:lvl w:ilvl="1" w:tplc="0F4E86FC">
      <w:start w:val="1"/>
      <w:numFmt w:val="lowerRoman"/>
      <w:lvlText w:val="(%2)"/>
      <w:lvlJc w:val="left"/>
      <w:pPr>
        <w:ind w:left="1080" w:hanging="360"/>
      </w:pPr>
      <w:rPr>
        <w:rFonts w:hint="default"/>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7BF37623"/>
    <w:multiLevelType w:val="hybridMultilevel"/>
    <w:tmpl w:val="D124F17C"/>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7F1B0D5E"/>
    <w:multiLevelType w:val="hybridMultilevel"/>
    <w:tmpl w:val="F496E50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0"/>
  </w:num>
  <w:num w:numId="5">
    <w:abstractNumId w:val="5"/>
  </w:num>
  <w:num w:numId="6">
    <w:abstractNumId w:val="8"/>
  </w:num>
  <w:num w:numId="7">
    <w:abstractNumId w:val="0"/>
  </w:num>
  <w:num w:numId="8">
    <w:abstractNumId w:val="3"/>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3C"/>
    <w:rsid w:val="000020AE"/>
    <w:rsid w:val="00004A31"/>
    <w:rsid w:val="0001068F"/>
    <w:rsid w:val="00010B18"/>
    <w:rsid w:val="0002000F"/>
    <w:rsid w:val="00030530"/>
    <w:rsid w:val="00053669"/>
    <w:rsid w:val="00053F2A"/>
    <w:rsid w:val="0006583F"/>
    <w:rsid w:val="00074499"/>
    <w:rsid w:val="000766CB"/>
    <w:rsid w:val="000923C9"/>
    <w:rsid w:val="000B1E8D"/>
    <w:rsid w:val="000B59D0"/>
    <w:rsid w:val="000B64B1"/>
    <w:rsid w:val="000D47C3"/>
    <w:rsid w:val="000F37D5"/>
    <w:rsid w:val="000F76AC"/>
    <w:rsid w:val="000F7EFC"/>
    <w:rsid w:val="0010062C"/>
    <w:rsid w:val="00104EDB"/>
    <w:rsid w:val="00106A87"/>
    <w:rsid w:val="00106BE1"/>
    <w:rsid w:val="00110E1D"/>
    <w:rsid w:val="00125FB7"/>
    <w:rsid w:val="00130A17"/>
    <w:rsid w:val="0013432C"/>
    <w:rsid w:val="00137824"/>
    <w:rsid w:val="00140443"/>
    <w:rsid w:val="00156EE4"/>
    <w:rsid w:val="00164C08"/>
    <w:rsid w:val="00175E59"/>
    <w:rsid w:val="00176221"/>
    <w:rsid w:val="00187A3E"/>
    <w:rsid w:val="001A1886"/>
    <w:rsid w:val="001A27DC"/>
    <w:rsid w:val="001C51B5"/>
    <w:rsid w:val="001D4B90"/>
    <w:rsid w:val="001F084C"/>
    <w:rsid w:val="001F0E59"/>
    <w:rsid w:val="002026C8"/>
    <w:rsid w:val="00213423"/>
    <w:rsid w:val="00236FFC"/>
    <w:rsid w:val="00242635"/>
    <w:rsid w:val="00250FCD"/>
    <w:rsid w:val="00265690"/>
    <w:rsid w:val="002661CB"/>
    <w:rsid w:val="00296B6D"/>
    <w:rsid w:val="00297457"/>
    <w:rsid w:val="002A6C32"/>
    <w:rsid w:val="002B0659"/>
    <w:rsid w:val="002C1532"/>
    <w:rsid w:val="002C7B66"/>
    <w:rsid w:val="002E4360"/>
    <w:rsid w:val="00302839"/>
    <w:rsid w:val="003041AC"/>
    <w:rsid w:val="00310311"/>
    <w:rsid w:val="0031250E"/>
    <w:rsid w:val="003158CC"/>
    <w:rsid w:val="0032102F"/>
    <w:rsid w:val="00331A75"/>
    <w:rsid w:val="003346E0"/>
    <w:rsid w:val="003374D6"/>
    <w:rsid w:val="0034279C"/>
    <w:rsid w:val="00345748"/>
    <w:rsid w:val="00354AFB"/>
    <w:rsid w:val="00356CE9"/>
    <w:rsid w:val="0036470C"/>
    <w:rsid w:val="003743EA"/>
    <w:rsid w:val="00391D63"/>
    <w:rsid w:val="00394EEC"/>
    <w:rsid w:val="003A17DF"/>
    <w:rsid w:val="003A2003"/>
    <w:rsid w:val="003A4E76"/>
    <w:rsid w:val="003B1F02"/>
    <w:rsid w:val="003B40FB"/>
    <w:rsid w:val="003B67BF"/>
    <w:rsid w:val="003C2972"/>
    <w:rsid w:val="003C52FE"/>
    <w:rsid w:val="003C6169"/>
    <w:rsid w:val="003C779D"/>
    <w:rsid w:val="003D4D88"/>
    <w:rsid w:val="003F0FE9"/>
    <w:rsid w:val="003F1FEE"/>
    <w:rsid w:val="0040101C"/>
    <w:rsid w:val="00402C62"/>
    <w:rsid w:val="004159E2"/>
    <w:rsid w:val="004176A6"/>
    <w:rsid w:val="00423185"/>
    <w:rsid w:val="0042666A"/>
    <w:rsid w:val="00430FC1"/>
    <w:rsid w:val="00432ECD"/>
    <w:rsid w:val="00442309"/>
    <w:rsid w:val="00442C35"/>
    <w:rsid w:val="0044429C"/>
    <w:rsid w:val="00451CF5"/>
    <w:rsid w:val="00464372"/>
    <w:rsid w:val="00464B3D"/>
    <w:rsid w:val="00467B8F"/>
    <w:rsid w:val="004715B5"/>
    <w:rsid w:val="00475B19"/>
    <w:rsid w:val="00477810"/>
    <w:rsid w:val="004778A4"/>
    <w:rsid w:val="00477BEB"/>
    <w:rsid w:val="0048004C"/>
    <w:rsid w:val="00481C22"/>
    <w:rsid w:val="00483018"/>
    <w:rsid w:val="00486EE3"/>
    <w:rsid w:val="0049469D"/>
    <w:rsid w:val="00494731"/>
    <w:rsid w:val="004975E1"/>
    <w:rsid w:val="004A5588"/>
    <w:rsid w:val="004B0039"/>
    <w:rsid w:val="004C6F44"/>
    <w:rsid w:val="004D5361"/>
    <w:rsid w:val="004E0FA6"/>
    <w:rsid w:val="004F08FC"/>
    <w:rsid w:val="004F1E61"/>
    <w:rsid w:val="005014CD"/>
    <w:rsid w:val="0051317E"/>
    <w:rsid w:val="00515B09"/>
    <w:rsid w:val="00517282"/>
    <w:rsid w:val="00525659"/>
    <w:rsid w:val="00537E9C"/>
    <w:rsid w:val="00541986"/>
    <w:rsid w:val="0055623E"/>
    <w:rsid w:val="00557856"/>
    <w:rsid w:val="00560F01"/>
    <w:rsid w:val="00573448"/>
    <w:rsid w:val="00574045"/>
    <w:rsid w:val="00577B9E"/>
    <w:rsid w:val="00593A34"/>
    <w:rsid w:val="0059656D"/>
    <w:rsid w:val="005C6D2E"/>
    <w:rsid w:val="005D5642"/>
    <w:rsid w:val="005E2CC1"/>
    <w:rsid w:val="005E48CB"/>
    <w:rsid w:val="005F5492"/>
    <w:rsid w:val="005F736C"/>
    <w:rsid w:val="00601D04"/>
    <w:rsid w:val="00604894"/>
    <w:rsid w:val="006135E2"/>
    <w:rsid w:val="00624150"/>
    <w:rsid w:val="00650747"/>
    <w:rsid w:val="00673870"/>
    <w:rsid w:val="0067485C"/>
    <w:rsid w:val="00677E91"/>
    <w:rsid w:val="006842AB"/>
    <w:rsid w:val="0069480A"/>
    <w:rsid w:val="006A51AC"/>
    <w:rsid w:val="006A7770"/>
    <w:rsid w:val="006B1D86"/>
    <w:rsid w:val="006D2894"/>
    <w:rsid w:val="006E410C"/>
    <w:rsid w:val="006E5B8A"/>
    <w:rsid w:val="006F68D7"/>
    <w:rsid w:val="006F7454"/>
    <w:rsid w:val="0070392A"/>
    <w:rsid w:val="007117A7"/>
    <w:rsid w:val="00712A28"/>
    <w:rsid w:val="007177CE"/>
    <w:rsid w:val="007629C6"/>
    <w:rsid w:val="00764AAB"/>
    <w:rsid w:val="007712D7"/>
    <w:rsid w:val="00774475"/>
    <w:rsid w:val="007763CF"/>
    <w:rsid w:val="00786C68"/>
    <w:rsid w:val="00793BF0"/>
    <w:rsid w:val="007B2558"/>
    <w:rsid w:val="007C12E7"/>
    <w:rsid w:val="007E67A9"/>
    <w:rsid w:val="007E7F2A"/>
    <w:rsid w:val="00814801"/>
    <w:rsid w:val="00827CE5"/>
    <w:rsid w:val="00831579"/>
    <w:rsid w:val="00852919"/>
    <w:rsid w:val="00863187"/>
    <w:rsid w:val="00874367"/>
    <w:rsid w:val="00876BF7"/>
    <w:rsid w:val="008858EB"/>
    <w:rsid w:val="008947A5"/>
    <w:rsid w:val="008A1D56"/>
    <w:rsid w:val="008B1554"/>
    <w:rsid w:val="008B1AA3"/>
    <w:rsid w:val="008C2D3C"/>
    <w:rsid w:val="008C401A"/>
    <w:rsid w:val="008C437A"/>
    <w:rsid w:val="008D0666"/>
    <w:rsid w:val="008D781A"/>
    <w:rsid w:val="008E3D0D"/>
    <w:rsid w:val="008E3EC3"/>
    <w:rsid w:val="008E628A"/>
    <w:rsid w:val="008F4965"/>
    <w:rsid w:val="00901BC3"/>
    <w:rsid w:val="00901C61"/>
    <w:rsid w:val="009026D7"/>
    <w:rsid w:val="00904752"/>
    <w:rsid w:val="009062F2"/>
    <w:rsid w:val="00931BE6"/>
    <w:rsid w:val="00947F7E"/>
    <w:rsid w:val="00957AD0"/>
    <w:rsid w:val="0096359D"/>
    <w:rsid w:val="00964016"/>
    <w:rsid w:val="00972065"/>
    <w:rsid w:val="00973052"/>
    <w:rsid w:val="00995286"/>
    <w:rsid w:val="009B2840"/>
    <w:rsid w:val="009D18A8"/>
    <w:rsid w:val="009E0F6E"/>
    <w:rsid w:val="009E49F2"/>
    <w:rsid w:val="009E7D0B"/>
    <w:rsid w:val="009F11EE"/>
    <w:rsid w:val="009F1E99"/>
    <w:rsid w:val="009F3F73"/>
    <w:rsid w:val="00A00AA3"/>
    <w:rsid w:val="00A02B3A"/>
    <w:rsid w:val="00A05027"/>
    <w:rsid w:val="00A214C6"/>
    <w:rsid w:val="00A4378E"/>
    <w:rsid w:val="00A47B70"/>
    <w:rsid w:val="00A55D8E"/>
    <w:rsid w:val="00A67BB8"/>
    <w:rsid w:val="00A706B7"/>
    <w:rsid w:val="00A762F6"/>
    <w:rsid w:val="00A8116F"/>
    <w:rsid w:val="00A84A93"/>
    <w:rsid w:val="00A904BA"/>
    <w:rsid w:val="00A90739"/>
    <w:rsid w:val="00AA508D"/>
    <w:rsid w:val="00AA700B"/>
    <w:rsid w:val="00AD059C"/>
    <w:rsid w:val="00AE2E95"/>
    <w:rsid w:val="00AE4198"/>
    <w:rsid w:val="00AE6261"/>
    <w:rsid w:val="00AF45E5"/>
    <w:rsid w:val="00B0040A"/>
    <w:rsid w:val="00B01D84"/>
    <w:rsid w:val="00B05908"/>
    <w:rsid w:val="00B12108"/>
    <w:rsid w:val="00B1654A"/>
    <w:rsid w:val="00B23750"/>
    <w:rsid w:val="00B25306"/>
    <w:rsid w:val="00B35538"/>
    <w:rsid w:val="00B52D56"/>
    <w:rsid w:val="00B61707"/>
    <w:rsid w:val="00B62081"/>
    <w:rsid w:val="00B641D2"/>
    <w:rsid w:val="00B655A5"/>
    <w:rsid w:val="00B7098E"/>
    <w:rsid w:val="00B82C43"/>
    <w:rsid w:val="00B8719A"/>
    <w:rsid w:val="00BC09A0"/>
    <w:rsid w:val="00BF01AE"/>
    <w:rsid w:val="00BF16BB"/>
    <w:rsid w:val="00BF656E"/>
    <w:rsid w:val="00C1244F"/>
    <w:rsid w:val="00C219D4"/>
    <w:rsid w:val="00C33CD3"/>
    <w:rsid w:val="00C55E2E"/>
    <w:rsid w:val="00C63C32"/>
    <w:rsid w:val="00C71452"/>
    <w:rsid w:val="00C84C63"/>
    <w:rsid w:val="00C94710"/>
    <w:rsid w:val="00C963C8"/>
    <w:rsid w:val="00CA5E59"/>
    <w:rsid w:val="00CA5ECC"/>
    <w:rsid w:val="00CC3CBE"/>
    <w:rsid w:val="00CD5990"/>
    <w:rsid w:val="00CF07DE"/>
    <w:rsid w:val="00D00C5F"/>
    <w:rsid w:val="00D0584C"/>
    <w:rsid w:val="00D06761"/>
    <w:rsid w:val="00D07A0F"/>
    <w:rsid w:val="00D10961"/>
    <w:rsid w:val="00D11311"/>
    <w:rsid w:val="00D12D04"/>
    <w:rsid w:val="00D140FE"/>
    <w:rsid w:val="00D173D4"/>
    <w:rsid w:val="00D230C6"/>
    <w:rsid w:val="00D33B39"/>
    <w:rsid w:val="00D33F08"/>
    <w:rsid w:val="00D35048"/>
    <w:rsid w:val="00D35EE4"/>
    <w:rsid w:val="00D37FB5"/>
    <w:rsid w:val="00D52071"/>
    <w:rsid w:val="00D54472"/>
    <w:rsid w:val="00D72B0E"/>
    <w:rsid w:val="00D72E65"/>
    <w:rsid w:val="00D87ED3"/>
    <w:rsid w:val="00D941A2"/>
    <w:rsid w:val="00DA1415"/>
    <w:rsid w:val="00DA5307"/>
    <w:rsid w:val="00DA5E57"/>
    <w:rsid w:val="00DB03E7"/>
    <w:rsid w:val="00DB233D"/>
    <w:rsid w:val="00DB3210"/>
    <w:rsid w:val="00DB507A"/>
    <w:rsid w:val="00DC1F21"/>
    <w:rsid w:val="00DC2A0E"/>
    <w:rsid w:val="00DD0D61"/>
    <w:rsid w:val="00DD1E82"/>
    <w:rsid w:val="00DD4A8B"/>
    <w:rsid w:val="00DF0B20"/>
    <w:rsid w:val="00DF77E3"/>
    <w:rsid w:val="00E001FF"/>
    <w:rsid w:val="00E01658"/>
    <w:rsid w:val="00E03379"/>
    <w:rsid w:val="00E072EF"/>
    <w:rsid w:val="00E2065C"/>
    <w:rsid w:val="00E226CB"/>
    <w:rsid w:val="00E24E66"/>
    <w:rsid w:val="00E33207"/>
    <w:rsid w:val="00E33E89"/>
    <w:rsid w:val="00E54E32"/>
    <w:rsid w:val="00E56B89"/>
    <w:rsid w:val="00E64468"/>
    <w:rsid w:val="00E66B44"/>
    <w:rsid w:val="00EA3325"/>
    <w:rsid w:val="00EA4BDE"/>
    <w:rsid w:val="00EC121F"/>
    <w:rsid w:val="00EC3671"/>
    <w:rsid w:val="00EC480D"/>
    <w:rsid w:val="00ED5087"/>
    <w:rsid w:val="00ED5438"/>
    <w:rsid w:val="00ED74E1"/>
    <w:rsid w:val="00EE187F"/>
    <w:rsid w:val="00EE1B10"/>
    <w:rsid w:val="00EF46AD"/>
    <w:rsid w:val="00F05BC5"/>
    <w:rsid w:val="00F07370"/>
    <w:rsid w:val="00F07AE6"/>
    <w:rsid w:val="00F102C3"/>
    <w:rsid w:val="00F13B36"/>
    <w:rsid w:val="00F21E81"/>
    <w:rsid w:val="00F2719F"/>
    <w:rsid w:val="00F34A8E"/>
    <w:rsid w:val="00F351D3"/>
    <w:rsid w:val="00F358D1"/>
    <w:rsid w:val="00F37948"/>
    <w:rsid w:val="00F617FB"/>
    <w:rsid w:val="00F63912"/>
    <w:rsid w:val="00F64F7A"/>
    <w:rsid w:val="00F6776D"/>
    <w:rsid w:val="00F75BA3"/>
    <w:rsid w:val="00F82BF3"/>
    <w:rsid w:val="00F92FF5"/>
    <w:rsid w:val="00F93557"/>
    <w:rsid w:val="00FA10D1"/>
    <w:rsid w:val="00FA63F6"/>
    <w:rsid w:val="00FB282E"/>
    <w:rsid w:val="00FB48A4"/>
    <w:rsid w:val="00FC44A8"/>
    <w:rsid w:val="00FE38DA"/>
    <w:rsid w:val="00FF6F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E90CD-2431-4443-86EA-2E04F3C5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F01"/>
  </w:style>
  <w:style w:type="paragraph" w:styleId="Ttulo3">
    <w:name w:val="heading 3"/>
    <w:basedOn w:val="Normal"/>
    <w:next w:val="Normal"/>
    <w:link w:val="Ttulo3Car"/>
    <w:uiPriority w:val="9"/>
    <w:semiHidden/>
    <w:unhideWhenUsed/>
    <w:qFormat/>
    <w:rsid w:val="000020A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9"/>
    <w:qFormat/>
    <w:rsid w:val="007E7F2A"/>
    <w:pPr>
      <w:keepNext/>
      <w:spacing w:before="120" w:after="120" w:line="240" w:lineRule="auto"/>
      <w:jc w:val="both"/>
      <w:outlineLvl w:val="3"/>
    </w:pPr>
    <w:rPr>
      <w:rFonts w:ascii="Arial" w:eastAsia="Times New Roman" w:hAnsi="Arial" w:cs="Arial"/>
      <w:b/>
      <w:bCs/>
      <w:szCs w:val="24"/>
      <w:lang w:val="es-ES" w:eastAsia="es-ES"/>
    </w:rPr>
  </w:style>
  <w:style w:type="paragraph" w:styleId="Ttulo6">
    <w:name w:val="heading 6"/>
    <w:basedOn w:val="Normal"/>
    <w:next w:val="Normal"/>
    <w:link w:val="Ttulo6Car"/>
    <w:uiPriority w:val="9"/>
    <w:semiHidden/>
    <w:unhideWhenUsed/>
    <w:qFormat/>
    <w:rsid w:val="000020A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7E7F2A"/>
    <w:pPr>
      <w:keepNext/>
      <w:spacing w:before="240" w:after="0" w:line="240" w:lineRule="auto"/>
      <w:ind w:left="4797" w:hanging="839"/>
      <w:jc w:val="both"/>
      <w:outlineLvl w:val="6"/>
    </w:pPr>
    <w:rPr>
      <w:rFonts w:ascii="Arial" w:eastAsia="Times New Roman" w:hAnsi="Arial" w:cs="Arial"/>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7F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F2A"/>
  </w:style>
  <w:style w:type="paragraph" w:styleId="Piedepgina">
    <w:name w:val="footer"/>
    <w:basedOn w:val="Normal"/>
    <w:link w:val="PiedepginaCar"/>
    <w:uiPriority w:val="99"/>
    <w:unhideWhenUsed/>
    <w:rsid w:val="007E7F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F2A"/>
  </w:style>
  <w:style w:type="character" w:customStyle="1" w:styleId="Ttulo4Car">
    <w:name w:val="Título 4 Car"/>
    <w:basedOn w:val="Fuentedeprrafopredeter"/>
    <w:link w:val="Ttulo4"/>
    <w:uiPriority w:val="99"/>
    <w:rsid w:val="007E7F2A"/>
    <w:rPr>
      <w:rFonts w:ascii="Arial" w:eastAsia="Times New Roman" w:hAnsi="Arial" w:cs="Arial"/>
      <w:b/>
      <w:bCs/>
      <w:szCs w:val="24"/>
      <w:lang w:val="es-ES" w:eastAsia="es-ES"/>
    </w:rPr>
  </w:style>
  <w:style w:type="character" w:customStyle="1" w:styleId="Ttulo7Car">
    <w:name w:val="Título 7 Car"/>
    <w:basedOn w:val="Fuentedeprrafopredeter"/>
    <w:link w:val="Ttulo7"/>
    <w:uiPriority w:val="99"/>
    <w:rsid w:val="007E7F2A"/>
    <w:rPr>
      <w:rFonts w:ascii="Arial" w:eastAsia="Times New Roman" w:hAnsi="Arial" w:cs="Arial"/>
      <w:b/>
      <w:bCs/>
      <w:szCs w:val="24"/>
      <w:lang w:val="es-ES" w:eastAsia="es-ES"/>
    </w:rPr>
  </w:style>
  <w:style w:type="paragraph" w:styleId="Sangradetextonormal">
    <w:name w:val="Body Text Indent"/>
    <w:basedOn w:val="Normal"/>
    <w:link w:val="SangradetextonormalCar"/>
    <w:uiPriority w:val="99"/>
    <w:rsid w:val="007E7F2A"/>
    <w:pPr>
      <w:spacing w:before="120" w:after="120" w:line="240" w:lineRule="auto"/>
      <w:ind w:left="5400"/>
      <w:jc w:val="both"/>
    </w:pPr>
    <w:rPr>
      <w:rFonts w:ascii="Arial" w:eastAsia="Times New Roman" w:hAnsi="Arial" w:cs="Arial"/>
      <w:b/>
      <w:bCs/>
      <w:szCs w:val="24"/>
      <w:lang w:val="es-ES" w:eastAsia="es-ES"/>
    </w:rPr>
  </w:style>
  <w:style w:type="character" w:customStyle="1" w:styleId="SangradetextonormalCar">
    <w:name w:val="Sangría de texto normal Car"/>
    <w:basedOn w:val="Fuentedeprrafopredeter"/>
    <w:link w:val="Sangradetextonormal"/>
    <w:uiPriority w:val="99"/>
    <w:rsid w:val="007E7F2A"/>
    <w:rPr>
      <w:rFonts w:ascii="Arial" w:eastAsia="Times New Roman" w:hAnsi="Arial" w:cs="Arial"/>
      <w:b/>
      <w:bCs/>
      <w:szCs w:val="24"/>
      <w:lang w:val="es-ES" w:eastAsia="es-ES"/>
    </w:rPr>
  </w:style>
  <w:style w:type="character" w:styleId="nfasis">
    <w:name w:val="Emphasis"/>
    <w:basedOn w:val="Fuentedeprrafopredeter"/>
    <w:uiPriority w:val="99"/>
    <w:qFormat/>
    <w:rsid w:val="007E7F2A"/>
    <w:rPr>
      <w:rFonts w:cs="Times New Roman"/>
      <w:i/>
      <w:iCs/>
    </w:rPr>
  </w:style>
  <w:style w:type="paragraph" w:styleId="Subttulo">
    <w:name w:val="Subtitle"/>
    <w:basedOn w:val="Normal"/>
    <w:next w:val="Normal"/>
    <w:link w:val="SubttuloCar"/>
    <w:uiPriority w:val="99"/>
    <w:qFormat/>
    <w:rsid w:val="007E7F2A"/>
    <w:pPr>
      <w:spacing w:before="120"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7E7F2A"/>
    <w:rPr>
      <w:rFonts w:ascii="Cambria" w:eastAsia="Times New Roman" w:hAnsi="Cambria" w:cs="Times New Roman"/>
      <w:sz w:val="24"/>
      <w:szCs w:val="24"/>
      <w:lang w:val="es-ES" w:eastAsia="es-ES"/>
    </w:rPr>
  </w:style>
  <w:style w:type="paragraph" w:styleId="Sinespaciado">
    <w:name w:val="No Spacing"/>
    <w:uiPriority w:val="1"/>
    <w:qFormat/>
    <w:rsid w:val="007E7F2A"/>
    <w:pPr>
      <w:spacing w:after="0" w:line="240" w:lineRule="auto"/>
    </w:pPr>
  </w:style>
  <w:style w:type="paragraph" w:styleId="Prrafodelista">
    <w:name w:val="List Paragraph"/>
    <w:basedOn w:val="Normal"/>
    <w:uiPriority w:val="34"/>
    <w:qFormat/>
    <w:rsid w:val="00C963C8"/>
    <w:pPr>
      <w:ind w:left="720"/>
      <w:contextualSpacing/>
    </w:pPr>
  </w:style>
  <w:style w:type="character" w:customStyle="1" w:styleId="Ttulo3Car">
    <w:name w:val="Título 3 Car"/>
    <w:basedOn w:val="Fuentedeprrafopredeter"/>
    <w:link w:val="Ttulo3"/>
    <w:uiPriority w:val="9"/>
    <w:semiHidden/>
    <w:rsid w:val="000020AE"/>
    <w:rPr>
      <w:rFonts w:asciiTheme="majorHAnsi" w:eastAsiaTheme="majorEastAsia" w:hAnsiTheme="majorHAnsi" w:cstheme="majorBidi"/>
      <w:b/>
      <w:bCs/>
      <w:color w:val="4F81BD" w:themeColor="accent1"/>
    </w:rPr>
  </w:style>
  <w:style w:type="character" w:customStyle="1" w:styleId="Ttulo6Car">
    <w:name w:val="Título 6 Car"/>
    <w:basedOn w:val="Fuentedeprrafopredeter"/>
    <w:link w:val="Ttulo6"/>
    <w:uiPriority w:val="9"/>
    <w:semiHidden/>
    <w:rsid w:val="000020AE"/>
    <w:rPr>
      <w:rFonts w:asciiTheme="majorHAnsi" w:eastAsiaTheme="majorEastAsia" w:hAnsiTheme="majorHAnsi" w:cstheme="majorBidi"/>
      <w:i/>
      <w:iCs/>
      <w:color w:val="243F60" w:themeColor="accent1" w:themeShade="7F"/>
    </w:rPr>
  </w:style>
  <w:style w:type="paragraph" w:styleId="Textonotapie">
    <w:name w:val="footnote text"/>
    <w:basedOn w:val="Normal"/>
    <w:link w:val="TextonotapieCar"/>
    <w:uiPriority w:val="99"/>
    <w:unhideWhenUsed/>
    <w:rsid w:val="00852919"/>
    <w:pPr>
      <w:spacing w:after="0" w:line="240" w:lineRule="auto"/>
    </w:pPr>
    <w:rPr>
      <w:sz w:val="20"/>
      <w:szCs w:val="20"/>
    </w:rPr>
  </w:style>
  <w:style w:type="character" w:customStyle="1" w:styleId="TextonotapieCar">
    <w:name w:val="Texto nota pie Car"/>
    <w:basedOn w:val="Fuentedeprrafopredeter"/>
    <w:link w:val="Textonotapie"/>
    <w:uiPriority w:val="99"/>
    <w:rsid w:val="00852919"/>
    <w:rPr>
      <w:sz w:val="20"/>
      <w:szCs w:val="20"/>
    </w:rPr>
  </w:style>
  <w:style w:type="character" w:styleId="Refdenotaalpie">
    <w:name w:val="footnote reference"/>
    <w:basedOn w:val="Fuentedeprrafopredeter"/>
    <w:uiPriority w:val="99"/>
    <w:unhideWhenUsed/>
    <w:rsid w:val="00852919"/>
    <w:rPr>
      <w:vertAlign w:val="superscript"/>
    </w:rPr>
  </w:style>
  <w:style w:type="character" w:styleId="Refdecomentario">
    <w:name w:val="annotation reference"/>
    <w:basedOn w:val="Fuentedeprrafopredeter"/>
    <w:uiPriority w:val="99"/>
    <w:semiHidden/>
    <w:unhideWhenUsed/>
    <w:rsid w:val="0096359D"/>
    <w:rPr>
      <w:sz w:val="16"/>
      <w:szCs w:val="16"/>
    </w:rPr>
  </w:style>
  <w:style w:type="paragraph" w:styleId="Textocomentario">
    <w:name w:val="annotation text"/>
    <w:basedOn w:val="Normal"/>
    <w:link w:val="TextocomentarioCar"/>
    <w:uiPriority w:val="99"/>
    <w:semiHidden/>
    <w:unhideWhenUsed/>
    <w:rsid w:val="009635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359D"/>
    <w:rPr>
      <w:sz w:val="20"/>
      <w:szCs w:val="20"/>
    </w:rPr>
  </w:style>
  <w:style w:type="paragraph" w:styleId="Asuntodelcomentario">
    <w:name w:val="annotation subject"/>
    <w:basedOn w:val="Textocomentario"/>
    <w:next w:val="Textocomentario"/>
    <w:link w:val="AsuntodelcomentarioCar"/>
    <w:uiPriority w:val="99"/>
    <w:semiHidden/>
    <w:unhideWhenUsed/>
    <w:rsid w:val="0096359D"/>
    <w:rPr>
      <w:b/>
      <w:bCs/>
    </w:rPr>
  </w:style>
  <w:style w:type="character" w:customStyle="1" w:styleId="AsuntodelcomentarioCar">
    <w:name w:val="Asunto del comentario Car"/>
    <w:basedOn w:val="TextocomentarioCar"/>
    <w:link w:val="Asuntodelcomentario"/>
    <w:uiPriority w:val="99"/>
    <w:semiHidden/>
    <w:rsid w:val="0096359D"/>
    <w:rPr>
      <w:b/>
      <w:bCs/>
      <w:sz w:val="20"/>
      <w:szCs w:val="20"/>
    </w:rPr>
  </w:style>
  <w:style w:type="paragraph" w:styleId="Textodeglobo">
    <w:name w:val="Balloon Text"/>
    <w:basedOn w:val="Normal"/>
    <w:link w:val="TextodegloboCar"/>
    <w:uiPriority w:val="99"/>
    <w:semiHidden/>
    <w:unhideWhenUsed/>
    <w:rsid w:val="009635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59D"/>
    <w:rPr>
      <w:rFonts w:ascii="Segoe UI" w:hAnsi="Segoe UI" w:cs="Segoe UI"/>
      <w:sz w:val="18"/>
      <w:szCs w:val="18"/>
    </w:rPr>
  </w:style>
  <w:style w:type="character" w:styleId="Textoennegrita">
    <w:name w:val="Strong"/>
    <w:basedOn w:val="Fuentedeprrafopredeter"/>
    <w:uiPriority w:val="22"/>
    <w:qFormat/>
    <w:rsid w:val="00972065"/>
    <w:rPr>
      <w:b/>
      <w:bCs/>
    </w:rPr>
  </w:style>
  <w:style w:type="character" w:customStyle="1" w:styleId="apple-converted-space">
    <w:name w:val="apple-converted-space"/>
    <w:basedOn w:val="Fuentedeprrafopredeter"/>
    <w:rsid w:val="00483018"/>
  </w:style>
  <w:style w:type="paragraph" w:styleId="NormalWeb">
    <w:name w:val="Normal (Web)"/>
    <w:basedOn w:val="Normal"/>
    <w:uiPriority w:val="99"/>
    <w:semiHidden/>
    <w:unhideWhenUsed/>
    <w:rsid w:val="00DF77E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DF77E3"/>
    <w:rPr>
      <w:color w:val="0000FF" w:themeColor="hyperlink"/>
      <w:u w:val="single"/>
    </w:rPr>
  </w:style>
  <w:style w:type="paragraph" w:styleId="HTMLconformatoprevio">
    <w:name w:val="HTML Preformatted"/>
    <w:basedOn w:val="Normal"/>
    <w:link w:val="HTMLconformatoprevioCar"/>
    <w:uiPriority w:val="99"/>
    <w:semiHidden/>
    <w:unhideWhenUsed/>
    <w:rsid w:val="00CD5990"/>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CD5990"/>
    <w:rPr>
      <w:rFonts w:ascii="Consolas" w:hAnsi="Consolas" w:cs="Consolas"/>
      <w:sz w:val="20"/>
      <w:szCs w:val="20"/>
    </w:rPr>
  </w:style>
  <w:style w:type="paragraph" w:styleId="Textoindependiente2">
    <w:name w:val="Body Text 2"/>
    <w:basedOn w:val="Normal"/>
    <w:link w:val="Textoindependiente2Car"/>
    <w:uiPriority w:val="99"/>
    <w:semiHidden/>
    <w:unhideWhenUsed/>
    <w:rsid w:val="00BF01AE"/>
    <w:pPr>
      <w:spacing w:after="120" w:line="480" w:lineRule="auto"/>
    </w:pPr>
  </w:style>
  <w:style w:type="character" w:customStyle="1" w:styleId="Textoindependiente2Car">
    <w:name w:val="Texto independiente 2 Car"/>
    <w:basedOn w:val="Fuentedeprrafopredeter"/>
    <w:link w:val="Textoindependiente2"/>
    <w:uiPriority w:val="99"/>
    <w:semiHidden/>
    <w:rsid w:val="00BF0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904">
      <w:bodyDiv w:val="1"/>
      <w:marLeft w:val="0"/>
      <w:marRight w:val="0"/>
      <w:marTop w:val="0"/>
      <w:marBottom w:val="0"/>
      <w:divBdr>
        <w:top w:val="none" w:sz="0" w:space="0" w:color="auto"/>
        <w:left w:val="none" w:sz="0" w:space="0" w:color="auto"/>
        <w:bottom w:val="none" w:sz="0" w:space="0" w:color="auto"/>
        <w:right w:val="none" w:sz="0" w:space="0" w:color="auto"/>
      </w:divBdr>
    </w:div>
    <w:div w:id="74019118">
      <w:bodyDiv w:val="1"/>
      <w:marLeft w:val="0"/>
      <w:marRight w:val="0"/>
      <w:marTop w:val="0"/>
      <w:marBottom w:val="0"/>
      <w:divBdr>
        <w:top w:val="none" w:sz="0" w:space="0" w:color="auto"/>
        <w:left w:val="none" w:sz="0" w:space="0" w:color="auto"/>
        <w:bottom w:val="none" w:sz="0" w:space="0" w:color="auto"/>
        <w:right w:val="none" w:sz="0" w:space="0" w:color="auto"/>
      </w:divBdr>
    </w:div>
    <w:div w:id="100803155">
      <w:bodyDiv w:val="1"/>
      <w:marLeft w:val="0"/>
      <w:marRight w:val="0"/>
      <w:marTop w:val="0"/>
      <w:marBottom w:val="0"/>
      <w:divBdr>
        <w:top w:val="none" w:sz="0" w:space="0" w:color="auto"/>
        <w:left w:val="none" w:sz="0" w:space="0" w:color="auto"/>
        <w:bottom w:val="none" w:sz="0" w:space="0" w:color="auto"/>
        <w:right w:val="none" w:sz="0" w:space="0" w:color="auto"/>
      </w:divBdr>
    </w:div>
    <w:div w:id="336621206">
      <w:bodyDiv w:val="1"/>
      <w:marLeft w:val="0"/>
      <w:marRight w:val="0"/>
      <w:marTop w:val="0"/>
      <w:marBottom w:val="0"/>
      <w:divBdr>
        <w:top w:val="none" w:sz="0" w:space="0" w:color="auto"/>
        <w:left w:val="none" w:sz="0" w:space="0" w:color="auto"/>
        <w:bottom w:val="none" w:sz="0" w:space="0" w:color="auto"/>
        <w:right w:val="none" w:sz="0" w:space="0" w:color="auto"/>
      </w:divBdr>
    </w:div>
    <w:div w:id="381173194">
      <w:bodyDiv w:val="1"/>
      <w:marLeft w:val="0"/>
      <w:marRight w:val="0"/>
      <w:marTop w:val="0"/>
      <w:marBottom w:val="0"/>
      <w:divBdr>
        <w:top w:val="none" w:sz="0" w:space="0" w:color="auto"/>
        <w:left w:val="none" w:sz="0" w:space="0" w:color="auto"/>
        <w:bottom w:val="none" w:sz="0" w:space="0" w:color="auto"/>
        <w:right w:val="none" w:sz="0" w:space="0" w:color="auto"/>
      </w:divBdr>
    </w:div>
    <w:div w:id="541095783">
      <w:bodyDiv w:val="1"/>
      <w:marLeft w:val="0"/>
      <w:marRight w:val="0"/>
      <w:marTop w:val="0"/>
      <w:marBottom w:val="0"/>
      <w:divBdr>
        <w:top w:val="none" w:sz="0" w:space="0" w:color="auto"/>
        <w:left w:val="none" w:sz="0" w:space="0" w:color="auto"/>
        <w:bottom w:val="none" w:sz="0" w:space="0" w:color="auto"/>
        <w:right w:val="none" w:sz="0" w:space="0" w:color="auto"/>
      </w:divBdr>
    </w:div>
    <w:div w:id="788932880">
      <w:bodyDiv w:val="1"/>
      <w:marLeft w:val="0"/>
      <w:marRight w:val="0"/>
      <w:marTop w:val="0"/>
      <w:marBottom w:val="0"/>
      <w:divBdr>
        <w:top w:val="none" w:sz="0" w:space="0" w:color="auto"/>
        <w:left w:val="none" w:sz="0" w:space="0" w:color="auto"/>
        <w:bottom w:val="none" w:sz="0" w:space="0" w:color="auto"/>
        <w:right w:val="none" w:sz="0" w:space="0" w:color="auto"/>
      </w:divBdr>
    </w:div>
    <w:div w:id="854882048">
      <w:bodyDiv w:val="1"/>
      <w:marLeft w:val="0"/>
      <w:marRight w:val="0"/>
      <w:marTop w:val="0"/>
      <w:marBottom w:val="0"/>
      <w:divBdr>
        <w:top w:val="none" w:sz="0" w:space="0" w:color="auto"/>
        <w:left w:val="none" w:sz="0" w:space="0" w:color="auto"/>
        <w:bottom w:val="none" w:sz="0" w:space="0" w:color="auto"/>
        <w:right w:val="none" w:sz="0" w:space="0" w:color="auto"/>
      </w:divBdr>
    </w:div>
    <w:div w:id="998651723">
      <w:bodyDiv w:val="1"/>
      <w:marLeft w:val="0"/>
      <w:marRight w:val="0"/>
      <w:marTop w:val="0"/>
      <w:marBottom w:val="0"/>
      <w:divBdr>
        <w:top w:val="none" w:sz="0" w:space="0" w:color="auto"/>
        <w:left w:val="none" w:sz="0" w:space="0" w:color="auto"/>
        <w:bottom w:val="none" w:sz="0" w:space="0" w:color="auto"/>
        <w:right w:val="none" w:sz="0" w:space="0" w:color="auto"/>
      </w:divBdr>
    </w:div>
    <w:div w:id="1308166513">
      <w:bodyDiv w:val="1"/>
      <w:marLeft w:val="0"/>
      <w:marRight w:val="0"/>
      <w:marTop w:val="0"/>
      <w:marBottom w:val="0"/>
      <w:divBdr>
        <w:top w:val="none" w:sz="0" w:space="0" w:color="auto"/>
        <w:left w:val="none" w:sz="0" w:space="0" w:color="auto"/>
        <w:bottom w:val="none" w:sz="0" w:space="0" w:color="auto"/>
        <w:right w:val="none" w:sz="0" w:space="0" w:color="auto"/>
      </w:divBdr>
    </w:div>
    <w:div w:id="1404600125">
      <w:bodyDiv w:val="1"/>
      <w:marLeft w:val="0"/>
      <w:marRight w:val="0"/>
      <w:marTop w:val="0"/>
      <w:marBottom w:val="0"/>
      <w:divBdr>
        <w:top w:val="none" w:sz="0" w:space="0" w:color="auto"/>
        <w:left w:val="none" w:sz="0" w:space="0" w:color="auto"/>
        <w:bottom w:val="none" w:sz="0" w:space="0" w:color="auto"/>
        <w:right w:val="none" w:sz="0" w:space="0" w:color="auto"/>
      </w:divBdr>
    </w:div>
    <w:div w:id="1574660373">
      <w:bodyDiv w:val="1"/>
      <w:marLeft w:val="0"/>
      <w:marRight w:val="0"/>
      <w:marTop w:val="0"/>
      <w:marBottom w:val="0"/>
      <w:divBdr>
        <w:top w:val="none" w:sz="0" w:space="0" w:color="auto"/>
        <w:left w:val="none" w:sz="0" w:space="0" w:color="auto"/>
        <w:bottom w:val="none" w:sz="0" w:space="0" w:color="auto"/>
        <w:right w:val="none" w:sz="0" w:space="0" w:color="auto"/>
      </w:divBdr>
    </w:div>
    <w:div w:id="1708068406">
      <w:bodyDiv w:val="1"/>
      <w:marLeft w:val="0"/>
      <w:marRight w:val="0"/>
      <w:marTop w:val="0"/>
      <w:marBottom w:val="0"/>
      <w:divBdr>
        <w:top w:val="none" w:sz="0" w:space="0" w:color="auto"/>
        <w:left w:val="none" w:sz="0" w:space="0" w:color="auto"/>
        <w:bottom w:val="none" w:sz="0" w:space="0" w:color="auto"/>
        <w:right w:val="none" w:sz="0" w:space="0" w:color="auto"/>
      </w:divBdr>
    </w:div>
    <w:div w:id="1732266715">
      <w:bodyDiv w:val="1"/>
      <w:marLeft w:val="0"/>
      <w:marRight w:val="0"/>
      <w:marTop w:val="0"/>
      <w:marBottom w:val="0"/>
      <w:divBdr>
        <w:top w:val="none" w:sz="0" w:space="0" w:color="auto"/>
        <w:left w:val="none" w:sz="0" w:space="0" w:color="auto"/>
        <w:bottom w:val="none" w:sz="0" w:space="0" w:color="auto"/>
        <w:right w:val="none" w:sz="0" w:space="0" w:color="auto"/>
      </w:divBdr>
    </w:div>
    <w:div w:id="18513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F900-BD5A-4EE4-B2FB-421F8C64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1352</Words>
  <Characters>7438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SoporteSII</dc:creator>
  <cp:keywords/>
  <dc:description/>
  <cp:lastModifiedBy>Maria Paz Borquez Riquelme</cp:lastModifiedBy>
  <cp:revision>5</cp:revision>
  <cp:lastPrinted>2017-05-12T17:37:00Z</cp:lastPrinted>
  <dcterms:created xsi:type="dcterms:W3CDTF">2017-07-17T14:56:00Z</dcterms:created>
  <dcterms:modified xsi:type="dcterms:W3CDTF">2017-07-17T22:21:00Z</dcterms:modified>
</cp:coreProperties>
</file>